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23" w:rsidRDefault="00B22522" w:rsidP="006951D4">
      <w:r>
        <w:rPr>
          <w:noProof/>
        </w:rPr>
        <w:drawing>
          <wp:inline distT="0" distB="0" distL="0" distR="0">
            <wp:extent cx="179832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481330"/>
                    </a:xfrm>
                    <a:prstGeom prst="rect">
                      <a:avLst/>
                    </a:prstGeom>
                    <a:noFill/>
                  </pic:spPr>
                </pic:pic>
              </a:graphicData>
            </a:graphic>
          </wp:inline>
        </w:drawing>
      </w:r>
    </w:p>
    <w:p w:rsidR="007C7E16" w:rsidRPr="00B14CB2" w:rsidRDefault="007C7E16" w:rsidP="007C7E16">
      <w:pPr>
        <w:jc w:val="right"/>
        <w:rPr>
          <w:i/>
        </w:rPr>
      </w:pPr>
      <w:r>
        <w:rPr>
          <w:i/>
        </w:rPr>
        <w:t>Hà nội</w:t>
      </w:r>
      <w:r w:rsidRPr="00B14CB2">
        <w:rPr>
          <w:i/>
        </w:rPr>
        <w:t xml:space="preserve">, ngày </w:t>
      </w:r>
      <w:r w:rsidR="00AF2B7A">
        <w:rPr>
          <w:i/>
        </w:rPr>
        <w:t>12</w:t>
      </w:r>
      <w:r w:rsidRPr="00B14CB2">
        <w:rPr>
          <w:i/>
        </w:rPr>
        <w:t xml:space="preserve"> tháng </w:t>
      </w:r>
      <w:r>
        <w:rPr>
          <w:i/>
        </w:rPr>
        <w:t>4</w:t>
      </w:r>
      <w:r w:rsidRPr="00B14CB2">
        <w:rPr>
          <w:i/>
        </w:rPr>
        <w:t xml:space="preserve"> năm 201</w:t>
      </w:r>
      <w:r w:rsidR="00457793">
        <w:rPr>
          <w:i/>
        </w:rPr>
        <w:t>7</w:t>
      </w:r>
    </w:p>
    <w:p w:rsidR="007C7E16" w:rsidRPr="000E2B20" w:rsidRDefault="007C7E16" w:rsidP="007C7E16">
      <w:pPr>
        <w:pStyle w:val="VIS-Socongvan"/>
        <w:spacing w:line="240" w:lineRule="auto"/>
      </w:pPr>
    </w:p>
    <w:p w:rsidR="007C7E16" w:rsidRDefault="007C7E16" w:rsidP="007C7E16">
      <w:pPr>
        <w:jc w:val="center"/>
        <w:rPr>
          <w:rFonts w:cs="Arial"/>
          <w:b/>
          <w:sz w:val="32"/>
          <w:szCs w:val="32"/>
        </w:rPr>
      </w:pPr>
      <w:r>
        <w:rPr>
          <w:rFonts w:cs="Arial"/>
          <w:b/>
          <w:sz w:val="32"/>
          <w:szCs w:val="32"/>
        </w:rPr>
        <w:t>BÁO CÁO</w:t>
      </w:r>
      <w:r w:rsidR="00B47D65">
        <w:rPr>
          <w:rFonts w:cs="Arial"/>
          <w:b/>
          <w:sz w:val="32"/>
          <w:szCs w:val="32"/>
        </w:rPr>
        <w:t xml:space="preserve"> HỘI ĐỒNG QUẢN TRỊ</w:t>
      </w:r>
    </w:p>
    <w:p w:rsidR="00B47D65" w:rsidRDefault="00B47D65" w:rsidP="007C7E16">
      <w:pPr>
        <w:jc w:val="center"/>
        <w:rPr>
          <w:rFonts w:cs="Arial"/>
          <w:b/>
          <w:sz w:val="32"/>
          <w:szCs w:val="32"/>
        </w:rPr>
      </w:pPr>
      <w:r>
        <w:rPr>
          <w:rFonts w:cs="Arial"/>
          <w:b/>
          <w:sz w:val="32"/>
          <w:szCs w:val="32"/>
        </w:rPr>
        <w:t>TẠI ĐẠI HỘI CỔ ĐÔNG THƯỜNG NIÊN NĂM 201</w:t>
      </w:r>
      <w:r w:rsidR="00457793">
        <w:rPr>
          <w:rFonts w:cs="Arial"/>
          <w:b/>
          <w:sz w:val="32"/>
          <w:szCs w:val="32"/>
        </w:rPr>
        <w:t>7</w:t>
      </w:r>
    </w:p>
    <w:p w:rsidR="00BC2B02" w:rsidRPr="007D6E64" w:rsidRDefault="00BC2B02" w:rsidP="00BC2B02">
      <w:pPr>
        <w:ind w:firstLine="709"/>
        <w:rPr>
          <w:rFonts w:cs="Arial"/>
          <w:b/>
        </w:rPr>
      </w:pPr>
    </w:p>
    <w:p w:rsidR="006951D4" w:rsidRDefault="006951D4" w:rsidP="009970DF">
      <w:pPr>
        <w:pStyle w:val="Heading1"/>
        <w:spacing w:line="360" w:lineRule="auto"/>
      </w:pPr>
      <w:r>
        <w:t xml:space="preserve">I. </w:t>
      </w:r>
      <w:r w:rsidRPr="006951D4">
        <w:t>TÌNH</w:t>
      </w:r>
      <w:r>
        <w:t xml:space="preserve"> HÌNH HOẠT ĐỘNG </w:t>
      </w:r>
      <w:r w:rsidR="00871FB5">
        <w:t>CỦ</w:t>
      </w:r>
      <w:r w:rsidR="00457793">
        <w:t>A HĐQT NĂM 2016</w:t>
      </w:r>
    </w:p>
    <w:p w:rsidR="006951D4" w:rsidRDefault="006951D4" w:rsidP="009970DF">
      <w:pPr>
        <w:pStyle w:val="Heading2"/>
        <w:spacing w:before="0" w:after="0" w:line="360" w:lineRule="auto"/>
      </w:pPr>
      <w:r>
        <w:t xml:space="preserve">1. </w:t>
      </w:r>
      <w:r w:rsidR="00F85992">
        <w:tab/>
      </w:r>
      <w:r>
        <w:t xml:space="preserve">Tình hình </w:t>
      </w:r>
      <w:r w:rsidR="0064097E">
        <w:t xml:space="preserve">kinh tế </w:t>
      </w:r>
      <w:r w:rsidR="00E867C8">
        <w:t>Việt Nam</w:t>
      </w:r>
      <w:r w:rsidR="0032338F">
        <w:t xml:space="preserve"> </w:t>
      </w:r>
    </w:p>
    <w:p w:rsidR="00713A6A" w:rsidRDefault="00B2485F" w:rsidP="009970DF">
      <w:pPr>
        <w:spacing w:before="0" w:after="0" w:line="360" w:lineRule="auto"/>
      </w:pPr>
      <w:r>
        <w:tab/>
      </w:r>
      <w:r w:rsidR="00713A6A">
        <w:t xml:space="preserve">Ngành Nông – Lâm- Thủy sản gặp khó khăn do thời tiết bất lợi và sự suy giảm của công nghiệp khai khoáng đã khiến tăng trưởng </w:t>
      </w:r>
      <w:r w:rsidR="00267205">
        <w:t>GDP của Việt Nam năm 2016 chỉ đạ</w:t>
      </w:r>
      <w:r w:rsidR="00713A6A">
        <w:t xml:space="preserve">t mức 6,21%, không đạt mục tiêu tăng trưởng là 6,7% và thấp hơn so với mức 6,68% năm 2015. Chỉ số CPI bình quân cả năm tăng 4,74%, tăng 2,66% so với bình quân năm 2015 do tác động từ việc điều chỉnh giá của nhóm hàng y tế và giáo dục. </w:t>
      </w:r>
      <w:r w:rsidR="0085782C">
        <w:t>Tăng trưởng tín dụng trong cả năm 2016 ước tính đạt 18</w:t>
      </w:r>
      <w:proofErr w:type="gramStart"/>
      <w:r w:rsidR="0085782C">
        <w:t>,7</w:t>
      </w:r>
      <w:proofErr w:type="gramEnd"/>
      <w:r w:rsidR="0085782C">
        <w:t>%, cao hơn mức 17,3% của năm 2015, đồng thời cũng vượt mục tiêu 18% mà NHNN đặt ra ngay từ đầu năm. Thu hút đầu tư trực tiếp nước ngoài trong năm 2016 ước đạt 20</w:t>
      </w:r>
      <w:proofErr w:type="gramStart"/>
      <w:r w:rsidR="0085782C">
        <w:t>,9</w:t>
      </w:r>
      <w:proofErr w:type="gramEnd"/>
      <w:r w:rsidR="0085782C">
        <w:t xml:space="preserve"> tỷ USD, giảm 8,2% so với mức 22,76 tỷ USD của năm 2015. Số vốn thu hút giảm ở cả vốn đầu tư mới (-2,5%) lẫn số vốn đầu tư thêm (-19,7%).</w:t>
      </w:r>
      <w:r w:rsidR="009970DF">
        <w:t xml:space="preserve"> </w:t>
      </w:r>
      <w:r w:rsidR="00713A6A">
        <w:t>Cũng trong</w:t>
      </w:r>
      <w:r w:rsidR="00713A6A" w:rsidRPr="00713A6A">
        <w:t xml:space="preserve"> năm 2016, số doanh nghiệp thành lập mới đạt mức kỷ lục với 110,1 nghìn doanh nghiệp, tăng 16,2% so với năm 2015</w:t>
      </w:r>
      <w:r w:rsidR="00713A6A">
        <w:t>.</w:t>
      </w:r>
      <w:r w:rsidR="0085782C">
        <w:t xml:space="preserve"> </w:t>
      </w:r>
      <w:r w:rsidR="00C107FA" w:rsidRPr="00C107FA">
        <w:t>Chính Phủ vẫn đang nỗ lực tạo ra một môi trường kinh doanh thông thoáng và ổn định hơn, tạo điều kiện cho nền kinh tế tăng trưởng ổn định trong dài hạn song vẫn còn thiếu các chính sách đột phá.</w:t>
      </w:r>
    </w:p>
    <w:p w:rsidR="006F3C28" w:rsidRPr="006F3C28" w:rsidRDefault="00B31F81" w:rsidP="009970DF">
      <w:pPr>
        <w:spacing w:before="0" w:after="0" w:line="360" w:lineRule="auto"/>
        <w:ind w:firstLine="720"/>
        <w:rPr>
          <w:lang w:val="vi-VN"/>
        </w:rPr>
      </w:pPr>
      <w:r>
        <w:t>Thị trường chứng khoán năm 2016 chịu nhiều tác động từ những cú sốc bất ngờ từ bên ngoài như</w:t>
      </w:r>
      <w:r w:rsidR="00267205">
        <w:t>:</w:t>
      </w:r>
      <w:r>
        <w:t xml:space="preserve"> </w:t>
      </w:r>
      <w:r w:rsidRPr="00B31F81">
        <w:t>Thị trường chứng khoán Trung Quốc ngắt giao dịch ngày 1/4, Anh bỏ phiếu thông qua việc rời khỏi EU (Brexit) ngày 24/6, kết quả bầu cử Tổng thống Mỹ ngày 9/11...</w:t>
      </w:r>
      <w:r>
        <w:t xml:space="preserve"> khiến thị trường có những phiên bán tháo mạnh như </w:t>
      </w:r>
      <w:r w:rsidR="009D2618">
        <w:t>p</w:t>
      </w:r>
      <w:r w:rsidRPr="00B31F81">
        <w:t>hiên giao dịch ngày 24/6, VNInd</w:t>
      </w:r>
      <w:r>
        <w:t>ex có lúc đã sụt giảm 5,47%, hay</w:t>
      </w:r>
      <w:r w:rsidRPr="00B31F81">
        <w:t xml:space="preserve"> phiên giao dịch ngày 9/11, VNIndex có lúc giảm sâu hơn 3%</w:t>
      </w:r>
      <w:r>
        <w:t>. Tuy nhiên nhìn chung n</w:t>
      </w:r>
      <w:r w:rsidR="006F3C28">
        <w:t>ăm 2016</w:t>
      </w:r>
      <w:r>
        <w:t xml:space="preserve"> vẫn</w:t>
      </w:r>
      <w:r w:rsidR="006F3C28">
        <w:t xml:space="preserve"> là một năm đánh dấu sự tăng trưởng của cả hai chỉ số VN-Index và HNX-Index khi tạo lập đỉnh từ mốc thấp nhất của năm tương ứng là 31.9% và 20.7%. Chốt phiên ngày 30/12, VN-Index đóng cửa ở mức 664.87 điểm, tăng 85.84 điểm so với phiên đóng cửa năm 2015, tương ứng tăng 14.8%; </w:t>
      </w:r>
      <w:r>
        <w:t xml:space="preserve">còn chỉ số </w:t>
      </w:r>
      <w:r w:rsidR="006F3C28">
        <w:lastRenderedPageBreak/>
        <w:t xml:space="preserve">HNX-Index </w:t>
      </w:r>
      <w:r>
        <w:t xml:space="preserve">đang trong xu hướng điều chỉnh giảm nên mức </w:t>
      </w:r>
      <w:r w:rsidR="006F3C28">
        <w:t xml:space="preserve">đóng cửa </w:t>
      </w:r>
      <w:r>
        <w:t xml:space="preserve">chỉ đạt </w:t>
      </w:r>
      <w:r w:rsidR="006F3C28">
        <w:t xml:space="preserve">80.12 điểm, tăng 0.16 điểm so với phiên đóng cửa năm 2015, </w:t>
      </w:r>
      <w:r>
        <w:t>tương ứng mức</w:t>
      </w:r>
      <w:r w:rsidR="006F3C28">
        <w:t xml:space="preserve"> tăng thêm 0.2% so với phiên cùng kỳ năm trước. </w:t>
      </w:r>
      <w:r w:rsidR="009D2618">
        <w:t>Qu</w:t>
      </w:r>
      <w:r w:rsidR="00AA62D5" w:rsidRPr="00AA62D5">
        <w:t>y mô giao dịch cổ phiếu bình quân</w:t>
      </w:r>
      <w:r w:rsidR="00AA62D5">
        <w:t xml:space="preserve"> </w:t>
      </w:r>
      <w:r w:rsidR="009D2618">
        <w:t xml:space="preserve">của cả hai sàn </w:t>
      </w:r>
      <w:r w:rsidR="00AA62D5">
        <w:t>đạt</w:t>
      </w:r>
      <w:r w:rsidR="00AA62D5" w:rsidRPr="00AA62D5">
        <w:t xml:space="preserve"> trên 3.000 tỷ đồng/phiên, tăng gần 19% so với bình quân phiên năm 2015</w:t>
      </w:r>
      <w:r w:rsidR="00AA62D5">
        <w:t xml:space="preserve">. </w:t>
      </w:r>
      <w:r w:rsidR="0023072F">
        <w:t>Tính đến hết tháng 12/2016, quy mô vốn hóa của hai sàn đạt 1.64</w:t>
      </w:r>
      <w:r w:rsidR="004771DE">
        <w:t>4</w:t>
      </w:r>
      <w:r w:rsidR="0023072F">
        <w:t xml:space="preserve"> tỷ VND</w:t>
      </w:r>
      <w:r w:rsidR="006C0DF6">
        <w:t xml:space="preserve"> (</w:t>
      </w:r>
      <w:r w:rsidR="004771DE">
        <w:t xml:space="preserve">gần </w:t>
      </w:r>
      <w:r w:rsidR="006C0DF6">
        <w:t>7</w:t>
      </w:r>
      <w:r w:rsidR="004771DE">
        <w:t>3</w:t>
      </w:r>
      <w:r w:rsidR="006C0DF6">
        <w:t xml:space="preserve"> tỷ USD)</w:t>
      </w:r>
      <w:r w:rsidR="0023072F">
        <w:t>, tương đương 37.34% GDP và tăng 26.83% so năm 2015.</w:t>
      </w:r>
    </w:p>
    <w:p w:rsidR="00E867C8" w:rsidRDefault="0064097E" w:rsidP="008F1255">
      <w:pPr>
        <w:rPr>
          <w:b/>
        </w:rPr>
      </w:pPr>
      <w:r w:rsidRPr="005B4F4B">
        <w:rPr>
          <w:b/>
          <w:lang w:val="vi-VN"/>
        </w:rPr>
        <w:t>2.</w:t>
      </w:r>
      <w:r w:rsidR="00E867C8">
        <w:rPr>
          <w:b/>
        </w:rPr>
        <w:t xml:space="preserve"> Tình hình </w:t>
      </w:r>
      <w:r w:rsidR="00E867C8" w:rsidRPr="00E867C8">
        <w:rPr>
          <w:b/>
        </w:rPr>
        <w:t>thị trường chứng khoán năm 2016</w:t>
      </w:r>
      <w:r w:rsidRPr="005B4F4B">
        <w:rPr>
          <w:b/>
          <w:lang w:val="vi-VN"/>
        </w:rPr>
        <w:tab/>
      </w:r>
    </w:p>
    <w:p w:rsidR="00DB3236" w:rsidRPr="00DB3236" w:rsidRDefault="008117E2" w:rsidP="00DB3236">
      <w:pPr>
        <w:pStyle w:val="Default"/>
        <w:spacing w:line="360" w:lineRule="auto"/>
        <w:jc w:val="both"/>
        <w:rPr>
          <w:rFonts w:ascii="Arial" w:hAnsi="Arial"/>
          <w:color w:val="auto"/>
        </w:rPr>
      </w:pPr>
      <w:r w:rsidRPr="00DB3236">
        <w:rPr>
          <w:rFonts w:ascii="Arial" w:hAnsi="Arial"/>
          <w:color w:val="auto"/>
        </w:rPr>
        <w:t xml:space="preserve"> </w:t>
      </w:r>
      <w:r w:rsidR="00DB3236" w:rsidRPr="00DB3236">
        <w:rPr>
          <w:rFonts w:ascii="Arial" w:hAnsi="Arial"/>
          <w:color w:val="auto"/>
        </w:rPr>
        <w:t xml:space="preserve">Năm 2016 đánh dấu một năm tăng trưởng vượt bậc của chỉ số Vnindex, khi lần đầu tiên bứt lên trên kênh giá đi ngang được hình thành trong 2 năm 2014, 2015 (vùng điểm 510-640) và giao dịch ổn định quanh mức 650-680 trong phần lớn thời gian nửa cuối năm. Tính cả năm 2016, chỉ số Vnindex có mức tăng trưởng mạnh cả về điểm số và giá trị giao dịch, trong khi biến động ở chỉ số Hnxindex là không đáng kể. Cụ thể, so với cuối năm 2015, chỉ số Vnindex tăng +14,8% về điểm số và +25,7% về giá trị giao dịch trong khi mức tăng/giảm tương ứng của chỉ số Hnxindex lần lượt là +0,2% và -4%. Trong đó, diễn biến thị trường có thể chia làm 3 giai đoạn chính: </w:t>
      </w:r>
    </w:p>
    <w:p w:rsidR="00DB3236" w:rsidRPr="00DB3236" w:rsidRDefault="00DB3236" w:rsidP="00DB3236">
      <w:pPr>
        <w:pStyle w:val="Default"/>
        <w:numPr>
          <w:ilvl w:val="0"/>
          <w:numId w:val="19"/>
        </w:numPr>
        <w:spacing w:line="360" w:lineRule="auto"/>
        <w:jc w:val="both"/>
        <w:rPr>
          <w:rFonts w:ascii="Arial" w:hAnsi="Arial"/>
          <w:color w:val="auto"/>
        </w:rPr>
      </w:pPr>
      <w:r w:rsidRPr="00DB3236">
        <w:rPr>
          <w:rFonts w:ascii="Arial" w:hAnsi="Arial"/>
          <w:color w:val="auto"/>
        </w:rPr>
        <w:t xml:space="preserve">Giai đoạn 1 (chỉ số Vnindex giảm từ 580 xuống 522 điểm), kéo dài từ đầu năm cho đến gần cuối tháng 1. Diễn biến tiêu cực của TTCK toàn cầu (do hiệu ứng từ đợt tăng lãi suất trong tháng 12 của FED) cùng đà lao dốc của giá dầu là nguyên nhân chính khiến thị trường điều chỉnh trong giai đoạn này. </w:t>
      </w:r>
    </w:p>
    <w:p w:rsidR="00DB3236" w:rsidRPr="00DB3236" w:rsidRDefault="00DB3236" w:rsidP="00E66045">
      <w:pPr>
        <w:pStyle w:val="Default"/>
        <w:numPr>
          <w:ilvl w:val="0"/>
          <w:numId w:val="19"/>
        </w:numPr>
        <w:spacing w:line="360" w:lineRule="auto"/>
        <w:jc w:val="both"/>
        <w:rPr>
          <w:rFonts w:ascii="Arial" w:hAnsi="Arial"/>
          <w:color w:val="auto"/>
        </w:rPr>
      </w:pPr>
      <w:r w:rsidRPr="00DB3236">
        <w:rPr>
          <w:rFonts w:ascii="Arial" w:hAnsi="Arial"/>
          <w:color w:val="auto"/>
        </w:rPr>
        <w:t>Giai đoạn 2 (chỉ số Vnindex tăng từ 522 lên quanh 690 điểm), kéo dài từ cuối tháng 1 đến hết tháng 9, thị trường đạt mức tăng trưởng mạnh mẽ cả về điểm số lẫn giá trị giao dịch nhờ diễn biến hồi phục ở nhóm cổ phiếu dầu khí trước thông tin giá dầu thế giới phục hồi từ đ</w:t>
      </w:r>
      <w:r w:rsidR="00E66045">
        <w:rPr>
          <w:rFonts w:ascii="Arial" w:hAnsi="Arial"/>
          <w:color w:val="auto"/>
        </w:rPr>
        <w:t>áy, c</w:t>
      </w:r>
      <w:r w:rsidRPr="00DB3236">
        <w:rPr>
          <w:rFonts w:ascii="Arial" w:hAnsi="Arial"/>
          <w:color w:val="auto"/>
        </w:rPr>
        <w:t xml:space="preserve">hính sách nới lỏng cung tiền khá mạnh tay của NHNN </w:t>
      </w:r>
      <w:r w:rsidR="00E66045">
        <w:rPr>
          <w:rFonts w:ascii="Arial" w:hAnsi="Arial"/>
          <w:color w:val="auto"/>
        </w:rPr>
        <w:t>và</w:t>
      </w:r>
      <w:r w:rsidRPr="00DB3236">
        <w:rPr>
          <w:rFonts w:ascii="Arial" w:hAnsi="Arial"/>
          <w:color w:val="auto"/>
        </w:rPr>
        <w:t xml:space="preserve"> xu hướng hồi phục của giá cả hàng hóa trên thị trường thế giới. </w:t>
      </w:r>
    </w:p>
    <w:p w:rsidR="001F58AF" w:rsidRDefault="00DB3236" w:rsidP="001F58AF">
      <w:pPr>
        <w:pStyle w:val="ListParagraph"/>
        <w:numPr>
          <w:ilvl w:val="0"/>
          <w:numId w:val="20"/>
        </w:numPr>
        <w:autoSpaceDE w:val="0"/>
        <w:autoSpaceDN w:val="0"/>
        <w:adjustRightInd w:val="0"/>
        <w:spacing w:before="0" w:after="0" w:line="360" w:lineRule="auto"/>
        <w:ind w:left="0" w:firstLine="0"/>
      </w:pPr>
      <w:r w:rsidRPr="00DB3236">
        <w:t>Giai đoạn 3 (chỉ số Vnindex có diễn biến điều chỉnh trong biên độ 650-690 điểm), kéo dài trong cả quý 4. Đây là giai đoạn chứng khiến nhiều biến động về mặt</w:t>
      </w:r>
      <w:r>
        <w:t xml:space="preserve"> </w:t>
      </w:r>
      <w:r w:rsidRPr="00DB3236">
        <w:t>thông tin cũng như tâm lý thị trường so với giai đoạn đầu nă</w:t>
      </w:r>
      <w:r>
        <w:t>m như:</w:t>
      </w:r>
      <w:r w:rsidRPr="00DB3236">
        <w:t xml:space="preserve"> Quy chế giao dịch chứng khoán</w:t>
      </w:r>
      <w:r>
        <w:t xml:space="preserve"> </w:t>
      </w:r>
      <w:r w:rsidRPr="00DB3236">
        <w:t>mới tại 2 Sở giao dịch có hiệu lực giúp tăng tính thanh khoản thị trường và tăng</w:t>
      </w:r>
      <w:r>
        <w:t xml:space="preserve"> </w:t>
      </w:r>
      <w:r w:rsidRPr="00DB3236">
        <w:t>tính hấp dẫ</w:t>
      </w:r>
      <w:r>
        <w:t xml:space="preserve">n, </w:t>
      </w:r>
      <w:r w:rsidRPr="00DB3236">
        <w:t>một số cổ phiếu mới niêm yết</w:t>
      </w:r>
      <w:r w:rsidR="00E66045">
        <w:t xml:space="preserve"> (BHN, SAB,</w:t>
      </w:r>
      <w:r w:rsidR="002847F5">
        <w:t>ACV</w:t>
      </w:r>
      <w:r w:rsidR="00E66045">
        <w:t>..)</w:t>
      </w:r>
      <w:r w:rsidRPr="00DB3236">
        <w:t xml:space="preserve"> tăng trưởng mạnh và phi mã có tác động đến chỉ số thị</w:t>
      </w:r>
      <w:r>
        <w:t xml:space="preserve"> </w:t>
      </w:r>
      <w:r w:rsidRPr="00DB3236">
        <w:t>trườ</w:t>
      </w:r>
      <w:r>
        <w:t>ng chung;</w:t>
      </w:r>
      <w:r w:rsidRPr="00DB3236">
        <w:t xml:space="preserve"> kết quả bầu cử Tổng thống Mỹ gây bất ngờ cho</w:t>
      </w:r>
      <w:r>
        <w:t xml:space="preserve"> </w:t>
      </w:r>
      <w:r w:rsidRPr="00DB3236">
        <w:t>quốc tế</w:t>
      </w:r>
      <w:r>
        <w:t>;</w:t>
      </w:r>
      <w:r w:rsidRPr="00DB3236">
        <w:t xml:space="preserve"> quyết định tăng lãi suất chính thức của Fed trong kỳ họp cuối năm nay t</w:t>
      </w:r>
      <w:r>
        <w:t>ừ 0.25% lên 0.5%</w:t>
      </w:r>
      <w:r w:rsidRPr="00DB3236">
        <w:t>.</w:t>
      </w:r>
      <w:r>
        <w:t>..</w:t>
      </w:r>
      <w:r w:rsidRPr="00DB3236">
        <w:t xml:space="preserve"> Thị trường</w:t>
      </w:r>
      <w:r>
        <w:t xml:space="preserve"> </w:t>
      </w:r>
      <w:r w:rsidRPr="00DB3236">
        <w:lastRenderedPageBreak/>
        <w:t>thiếu h</w:t>
      </w:r>
      <w:r w:rsidR="00076629">
        <w:t>ẳ</w:t>
      </w:r>
      <w:r w:rsidRPr="00DB3236">
        <w:t xml:space="preserve">n động lực tăng trưởng khi xu hướng rút ròng của khối </w:t>
      </w:r>
      <w:r w:rsidR="00E66045">
        <w:t xml:space="preserve">ngoại tiếp tục diễn ra mạnh hơn khiến </w:t>
      </w:r>
      <w:r w:rsidRPr="00DB3236">
        <w:t>phần lớn các cổ phiếu trên thị</w:t>
      </w:r>
      <w:r>
        <w:t xml:space="preserve"> </w:t>
      </w:r>
      <w:r w:rsidRPr="00DB3236">
        <w:t>trường đều trong quá trình tạo mặt bằng giá thấp hơn, thanh khoản thu hẹp đáng kể.</w:t>
      </w:r>
    </w:p>
    <w:p w:rsidR="001F58AF" w:rsidRPr="00DB3236" w:rsidRDefault="001F58AF" w:rsidP="001F58AF">
      <w:pPr>
        <w:pStyle w:val="ListParagraph"/>
        <w:autoSpaceDE w:val="0"/>
        <w:autoSpaceDN w:val="0"/>
        <w:adjustRightInd w:val="0"/>
        <w:spacing w:before="0" w:after="0" w:line="360" w:lineRule="auto"/>
        <w:ind w:firstLine="720"/>
      </w:pPr>
      <w:r>
        <w:t>Chỉ số P/E của VN-Index năm 2016 đạt hơn 15,9 lần, trong khi đó của Thái Lan là 16,</w:t>
      </w:r>
      <w:r w:rsidR="002C0AB1">
        <w:t>7</w:t>
      </w:r>
      <w:r>
        <w:t xml:space="preserve"> lần, </w:t>
      </w:r>
      <w:r w:rsidR="002C0AB1">
        <w:t xml:space="preserve">Philippines là 18,7, </w:t>
      </w:r>
      <w:r>
        <w:t>Indonesia là 2</w:t>
      </w:r>
      <w:r w:rsidR="002C0AB1">
        <w:t>4,1</w:t>
      </w:r>
      <w:r>
        <w:t xml:space="preserve"> lần, cao hơn PE của TTCK Trung Quốc là 14,7 lần. So với các TTCK phát triển như Mỹ (16,5) và châu Âu (20,7) thì khoảng cách đang được rút ngắn lại. Như vậy, TTCK Việt Nam đã bước qua thời kỳ rẻ, kéo gần lại khoảng cách so với các nước trong khu vực, chuyển trạng thái từ thị trường cận biên lên thị trường mới nổi</w:t>
      </w:r>
    </w:p>
    <w:p w:rsidR="006951D4" w:rsidRPr="005B4F4B" w:rsidRDefault="00E867C8" w:rsidP="008F1255">
      <w:pPr>
        <w:rPr>
          <w:b/>
          <w:lang w:val="vi-VN"/>
        </w:rPr>
      </w:pPr>
      <w:r>
        <w:rPr>
          <w:b/>
        </w:rPr>
        <w:t xml:space="preserve">3. </w:t>
      </w:r>
      <w:r w:rsidR="0032338F" w:rsidRPr="005B4F4B">
        <w:rPr>
          <w:b/>
          <w:lang w:val="vi-VN"/>
        </w:rPr>
        <w:t>Đánh giá chung về hoạt động của HĐQT năm 201</w:t>
      </w:r>
      <w:r w:rsidR="00457793" w:rsidRPr="005B4F4B">
        <w:rPr>
          <w:b/>
          <w:lang w:val="vi-VN"/>
        </w:rPr>
        <w:t>6</w:t>
      </w:r>
    </w:p>
    <w:p w:rsidR="004F4C6A" w:rsidRDefault="004F4C6A" w:rsidP="004F4C6A">
      <w:r w:rsidRPr="005B4F4B">
        <w:rPr>
          <w:lang w:val="vi-VN"/>
        </w:rPr>
        <w:tab/>
      </w:r>
      <w:r w:rsidRPr="00DB3C8D">
        <w:t>Danh sách thành viên HĐQT công ty</w:t>
      </w:r>
      <w:r>
        <w:t xml:space="preserve"> đến thời điểm 31/12/201</w:t>
      </w:r>
      <w:r w:rsidR="00442C8A">
        <w:t>6</w:t>
      </w:r>
      <w:r>
        <w:t xml:space="preserve"> gồm có</w:t>
      </w:r>
      <w:r w:rsidRPr="00DB3C8D">
        <w:t>:</w:t>
      </w:r>
    </w:p>
    <w:tbl>
      <w:tblPr>
        <w:tblStyle w:val="TableGrid"/>
        <w:tblW w:w="8784" w:type="dxa"/>
        <w:tblLook w:val="04A0" w:firstRow="1" w:lastRow="0" w:firstColumn="1" w:lastColumn="0" w:noHBand="0" w:noVBand="1"/>
      </w:tblPr>
      <w:tblGrid>
        <w:gridCol w:w="846"/>
        <w:gridCol w:w="2693"/>
        <w:gridCol w:w="2268"/>
        <w:gridCol w:w="2977"/>
      </w:tblGrid>
      <w:tr w:rsidR="004F4C6A" w:rsidRPr="00C36871" w:rsidTr="00B14E2A">
        <w:tc>
          <w:tcPr>
            <w:tcW w:w="846" w:type="dxa"/>
            <w:shd w:val="clear" w:color="auto" w:fill="5B9BD5" w:themeFill="accent1"/>
          </w:tcPr>
          <w:p w:rsidR="004F4C6A" w:rsidRPr="00B14E2A" w:rsidRDefault="004F4C6A" w:rsidP="002678D0">
            <w:pPr>
              <w:jc w:val="center"/>
              <w:rPr>
                <w:b/>
                <w:color w:val="FFFFFF" w:themeColor="background1"/>
              </w:rPr>
            </w:pPr>
            <w:r w:rsidRPr="00B14E2A">
              <w:rPr>
                <w:b/>
                <w:color w:val="FFFFFF" w:themeColor="background1"/>
              </w:rPr>
              <w:t>STT</w:t>
            </w:r>
          </w:p>
        </w:tc>
        <w:tc>
          <w:tcPr>
            <w:tcW w:w="2693" w:type="dxa"/>
            <w:shd w:val="clear" w:color="auto" w:fill="5B9BD5" w:themeFill="accent1"/>
          </w:tcPr>
          <w:p w:rsidR="004F4C6A" w:rsidRPr="00B14E2A" w:rsidRDefault="004F4C6A" w:rsidP="002678D0">
            <w:pPr>
              <w:jc w:val="center"/>
              <w:rPr>
                <w:b/>
                <w:color w:val="FFFFFF" w:themeColor="background1"/>
              </w:rPr>
            </w:pPr>
            <w:r w:rsidRPr="00B14E2A">
              <w:rPr>
                <w:b/>
                <w:color w:val="FFFFFF" w:themeColor="background1"/>
              </w:rPr>
              <w:t>Họ tên</w:t>
            </w:r>
          </w:p>
        </w:tc>
        <w:tc>
          <w:tcPr>
            <w:tcW w:w="2268" w:type="dxa"/>
            <w:shd w:val="clear" w:color="auto" w:fill="5B9BD5" w:themeFill="accent1"/>
          </w:tcPr>
          <w:p w:rsidR="004F4C6A" w:rsidRPr="00B14E2A" w:rsidRDefault="004F4C6A" w:rsidP="002678D0">
            <w:pPr>
              <w:jc w:val="center"/>
              <w:rPr>
                <w:b/>
                <w:color w:val="FFFFFF" w:themeColor="background1"/>
              </w:rPr>
            </w:pPr>
            <w:r w:rsidRPr="00B14E2A">
              <w:rPr>
                <w:b/>
                <w:color w:val="FFFFFF" w:themeColor="background1"/>
              </w:rPr>
              <w:t>Chức vụ</w:t>
            </w:r>
          </w:p>
        </w:tc>
        <w:tc>
          <w:tcPr>
            <w:tcW w:w="2977" w:type="dxa"/>
            <w:shd w:val="clear" w:color="auto" w:fill="5B9BD5" w:themeFill="accent1"/>
          </w:tcPr>
          <w:p w:rsidR="004F4C6A" w:rsidRPr="00B14E2A" w:rsidRDefault="004F4C6A" w:rsidP="002678D0">
            <w:pPr>
              <w:jc w:val="center"/>
              <w:rPr>
                <w:b/>
                <w:color w:val="FFFFFF" w:themeColor="background1"/>
              </w:rPr>
            </w:pPr>
            <w:r w:rsidRPr="00B14E2A">
              <w:rPr>
                <w:b/>
                <w:color w:val="FFFFFF" w:themeColor="background1"/>
              </w:rPr>
              <w:t>Ghi chú</w:t>
            </w:r>
          </w:p>
        </w:tc>
      </w:tr>
      <w:tr w:rsidR="004F4C6A" w:rsidTr="002678D0">
        <w:tc>
          <w:tcPr>
            <w:tcW w:w="846" w:type="dxa"/>
          </w:tcPr>
          <w:p w:rsidR="004F4C6A" w:rsidRDefault="004F4C6A" w:rsidP="002678D0">
            <w:pPr>
              <w:jc w:val="center"/>
            </w:pPr>
            <w:r>
              <w:t>1</w:t>
            </w:r>
          </w:p>
        </w:tc>
        <w:tc>
          <w:tcPr>
            <w:tcW w:w="2693" w:type="dxa"/>
          </w:tcPr>
          <w:p w:rsidR="004F4C6A" w:rsidRDefault="004F4C6A" w:rsidP="002678D0">
            <w:r w:rsidRPr="00DB3C8D">
              <w:t>Nguyễn Thị Thu Trang</w:t>
            </w:r>
          </w:p>
        </w:tc>
        <w:tc>
          <w:tcPr>
            <w:tcW w:w="2268" w:type="dxa"/>
          </w:tcPr>
          <w:p w:rsidR="004F4C6A" w:rsidRDefault="004F4C6A" w:rsidP="002678D0">
            <w:r w:rsidRPr="00DB3C8D">
              <w:t>Chủ tịch</w:t>
            </w:r>
          </w:p>
        </w:tc>
        <w:tc>
          <w:tcPr>
            <w:tcW w:w="2977" w:type="dxa"/>
          </w:tcPr>
          <w:p w:rsidR="004F4C6A" w:rsidRDefault="004F4C6A" w:rsidP="002678D0"/>
        </w:tc>
      </w:tr>
      <w:tr w:rsidR="004F4C6A" w:rsidTr="002678D0">
        <w:tc>
          <w:tcPr>
            <w:tcW w:w="846" w:type="dxa"/>
          </w:tcPr>
          <w:p w:rsidR="004F4C6A" w:rsidRDefault="004F4C6A" w:rsidP="002678D0">
            <w:pPr>
              <w:jc w:val="center"/>
            </w:pPr>
            <w:r>
              <w:t>2</w:t>
            </w:r>
          </w:p>
        </w:tc>
        <w:tc>
          <w:tcPr>
            <w:tcW w:w="2693" w:type="dxa"/>
          </w:tcPr>
          <w:p w:rsidR="004F4C6A" w:rsidRDefault="004F4C6A" w:rsidP="002678D0">
            <w:r w:rsidRPr="00DB3C8D">
              <w:t>Ninh Quang Hải</w:t>
            </w:r>
          </w:p>
        </w:tc>
        <w:tc>
          <w:tcPr>
            <w:tcW w:w="2268" w:type="dxa"/>
          </w:tcPr>
          <w:p w:rsidR="004F4C6A" w:rsidRDefault="004F4C6A" w:rsidP="002678D0">
            <w:r w:rsidRPr="00DB3C8D">
              <w:t>Thành viên</w:t>
            </w:r>
          </w:p>
        </w:tc>
        <w:tc>
          <w:tcPr>
            <w:tcW w:w="2977" w:type="dxa"/>
          </w:tcPr>
          <w:p w:rsidR="004F4C6A" w:rsidRDefault="004F4C6A" w:rsidP="002678D0"/>
        </w:tc>
      </w:tr>
      <w:tr w:rsidR="004F4C6A" w:rsidTr="002678D0">
        <w:tc>
          <w:tcPr>
            <w:tcW w:w="846" w:type="dxa"/>
          </w:tcPr>
          <w:p w:rsidR="004F4C6A" w:rsidRDefault="004F4C6A" w:rsidP="002678D0">
            <w:pPr>
              <w:jc w:val="center"/>
            </w:pPr>
            <w:r>
              <w:t>3</w:t>
            </w:r>
          </w:p>
        </w:tc>
        <w:tc>
          <w:tcPr>
            <w:tcW w:w="2693" w:type="dxa"/>
          </w:tcPr>
          <w:p w:rsidR="004F4C6A" w:rsidRDefault="004F4C6A" w:rsidP="002678D0">
            <w:r w:rsidRPr="00DB3C8D">
              <w:t>Nguyễn Thanh Thủy</w:t>
            </w:r>
          </w:p>
        </w:tc>
        <w:tc>
          <w:tcPr>
            <w:tcW w:w="2268" w:type="dxa"/>
          </w:tcPr>
          <w:p w:rsidR="004F4C6A" w:rsidRDefault="004F4C6A" w:rsidP="002678D0">
            <w:r w:rsidRPr="00DB3C8D">
              <w:t>Thành viên</w:t>
            </w:r>
          </w:p>
        </w:tc>
        <w:tc>
          <w:tcPr>
            <w:tcW w:w="2977" w:type="dxa"/>
          </w:tcPr>
          <w:p w:rsidR="004F4C6A" w:rsidRDefault="004F4C6A" w:rsidP="002678D0"/>
        </w:tc>
      </w:tr>
      <w:tr w:rsidR="004F4C6A" w:rsidTr="002678D0">
        <w:tc>
          <w:tcPr>
            <w:tcW w:w="846" w:type="dxa"/>
          </w:tcPr>
          <w:p w:rsidR="004F4C6A" w:rsidRDefault="004F4C6A" w:rsidP="002678D0">
            <w:pPr>
              <w:jc w:val="center"/>
            </w:pPr>
            <w:r>
              <w:t>4</w:t>
            </w:r>
          </w:p>
        </w:tc>
        <w:tc>
          <w:tcPr>
            <w:tcW w:w="2693" w:type="dxa"/>
          </w:tcPr>
          <w:p w:rsidR="004F4C6A" w:rsidRPr="00DB3C8D" w:rsidRDefault="004F4C6A" w:rsidP="002678D0">
            <w:r>
              <w:t>Nguyễn Thanh Tuyền</w:t>
            </w:r>
          </w:p>
        </w:tc>
        <w:tc>
          <w:tcPr>
            <w:tcW w:w="2268" w:type="dxa"/>
          </w:tcPr>
          <w:p w:rsidR="004F4C6A" w:rsidRPr="00DB3C8D" w:rsidRDefault="004F4C6A" w:rsidP="004C1348">
            <w:r>
              <w:t>Thành viên</w:t>
            </w:r>
          </w:p>
        </w:tc>
        <w:tc>
          <w:tcPr>
            <w:tcW w:w="2977" w:type="dxa"/>
          </w:tcPr>
          <w:p w:rsidR="004F4C6A" w:rsidRDefault="004F4C6A" w:rsidP="002678D0"/>
        </w:tc>
      </w:tr>
      <w:tr w:rsidR="004F4C6A" w:rsidTr="002678D0">
        <w:tc>
          <w:tcPr>
            <w:tcW w:w="846" w:type="dxa"/>
          </w:tcPr>
          <w:p w:rsidR="004F4C6A" w:rsidRDefault="00457793" w:rsidP="002678D0">
            <w:pPr>
              <w:jc w:val="center"/>
            </w:pPr>
            <w:r>
              <w:t>5</w:t>
            </w:r>
          </w:p>
        </w:tc>
        <w:tc>
          <w:tcPr>
            <w:tcW w:w="2693" w:type="dxa"/>
          </w:tcPr>
          <w:p w:rsidR="004F4C6A" w:rsidRDefault="00457793" w:rsidP="00457793">
            <w:r>
              <w:t>Võ Quang Long</w:t>
            </w:r>
            <w:r w:rsidR="004F4C6A" w:rsidRPr="00DB3C8D">
              <w:t xml:space="preserve"> </w:t>
            </w:r>
          </w:p>
        </w:tc>
        <w:tc>
          <w:tcPr>
            <w:tcW w:w="2268" w:type="dxa"/>
          </w:tcPr>
          <w:p w:rsidR="004F4C6A" w:rsidRDefault="00457793" w:rsidP="002678D0">
            <w:r>
              <w:t>Thành viên</w:t>
            </w:r>
            <w:bookmarkStart w:id="0" w:name="_GoBack"/>
            <w:bookmarkEnd w:id="0"/>
          </w:p>
        </w:tc>
        <w:tc>
          <w:tcPr>
            <w:tcW w:w="2977" w:type="dxa"/>
          </w:tcPr>
          <w:p w:rsidR="004F4C6A" w:rsidRDefault="00842816" w:rsidP="00842816">
            <w:r>
              <w:t>Bổ nhiệm từ 26/8/2016</w:t>
            </w:r>
            <w:r w:rsidR="00442C8A">
              <w:t>, sẽ xin ý kiến của ĐHĐCĐ tại kỳ họp gần nhất</w:t>
            </w:r>
          </w:p>
        </w:tc>
      </w:tr>
    </w:tbl>
    <w:p w:rsidR="00247460" w:rsidRDefault="004F4C6A" w:rsidP="00D02B97">
      <w:pPr>
        <w:ind w:firstLine="720"/>
      </w:pPr>
      <w:r w:rsidRPr="003050D0">
        <w:t>Tr</w:t>
      </w:r>
      <w:r>
        <w:t>ong</w:t>
      </w:r>
      <w:r w:rsidR="00D6139F">
        <w:t xml:space="preserve"> </w:t>
      </w:r>
      <w:r>
        <w:t>năm</w:t>
      </w:r>
      <w:r w:rsidR="00D6139F">
        <w:t xml:space="preserve"> </w:t>
      </w:r>
      <w:r>
        <w:t>201</w:t>
      </w:r>
      <w:r w:rsidR="00442C8A">
        <w:t>6</w:t>
      </w:r>
      <w:r>
        <w:t>,</w:t>
      </w:r>
      <w:r w:rsidRPr="003050D0">
        <w:t xml:space="preserve"> HĐQ</w:t>
      </w:r>
      <w:r>
        <w:t>T</w:t>
      </w:r>
      <w:r w:rsidRPr="003050D0">
        <w:t xml:space="preserve"> đ</w:t>
      </w:r>
      <w:r>
        <w:t>ã</w:t>
      </w:r>
      <w:r w:rsidRPr="003050D0">
        <w:t xml:space="preserve"> t</w:t>
      </w:r>
      <w:r>
        <w:t>ổ</w:t>
      </w:r>
      <w:r w:rsidR="00D6139F">
        <w:t xml:space="preserve"> </w:t>
      </w:r>
      <w:r>
        <w:t>c</w:t>
      </w:r>
      <w:r w:rsidRPr="003050D0">
        <w:t>h</w:t>
      </w:r>
      <w:r>
        <w:t>ức</w:t>
      </w:r>
      <w:r w:rsidR="00D6139F">
        <w:t xml:space="preserve"> </w:t>
      </w:r>
      <w:r w:rsidR="0093108D">
        <w:t>06</w:t>
      </w:r>
      <w:r w:rsidRPr="003050D0">
        <w:t xml:space="preserve"> c</w:t>
      </w:r>
      <w:r>
        <w:t>uộc</w:t>
      </w:r>
      <w:r w:rsidR="00D6139F">
        <w:t xml:space="preserve"> </w:t>
      </w:r>
      <w:r>
        <w:t>họp, đồng</w:t>
      </w:r>
      <w:r w:rsidRPr="003050D0">
        <w:t xml:space="preserve"> t</w:t>
      </w:r>
      <w:r>
        <w:t>hời</w:t>
      </w:r>
      <w:r w:rsidR="00D6139F">
        <w:t xml:space="preserve"> </w:t>
      </w:r>
      <w:r>
        <w:t xml:space="preserve">cũng </w:t>
      </w:r>
      <w:r w:rsidRPr="003050D0">
        <w:t>đư</w:t>
      </w:r>
      <w:r>
        <w:t>a</w:t>
      </w:r>
      <w:r w:rsidR="00D6139F">
        <w:t xml:space="preserve"> </w:t>
      </w:r>
      <w:r>
        <w:t>ra</w:t>
      </w:r>
      <w:r w:rsidR="00D6139F">
        <w:t xml:space="preserve"> </w:t>
      </w:r>
      <w:r>
        <w:t>n</w:t>
      </w:r>
      <w:r w:rsidRPr="003050D0">
        <w:t>h</w:t>
      </w:r>
      <w:r>
        <w:t>ững</w:t>
      </w:r>
      <w:r w:rsidR="00D6139F">
        <w:t xml:space="preserve"> </w:t>
      </w:r>
      <w:r>
        <w:t>qu</w:t>
      </w:r>
      <w:r w:rsidRPr="003050D0">
        <w:t>y</w:t>
      </w:r>
      <w:r>
        <w:t>ết</w:t>
      </w:r>
      <w:r w:rsidR="00D6139F">
        <w:t xml:space="preserve"> </w:t>
      </w:r>
      <w:r>
        <w:t>đ</w:t>
      </w:r>
      <w:r w:rsidRPr="003050D0">
        <w:t>ị</w:t>
      </w:r>
      <w:r>
        <w:t>nh</w:t>
      </w:r>
      <w:r w:rsidR="00D6139F">
        <w:t xml:space="preserve"> </w:t>
      </w:r>
      <w:r>
        <w:t>nh</w:t>
      </w:r>
      <w:r w:rsidRPr="003050D0">
        <w:t>a</w:t>
      </w:r>
      <w:r>
        <w:t>nh</w:t>
      </w:r>
      <w:r w:rsidR="00D6139F">
        <w:t xml:space="preserve"> </w:t>
      </w:r>
      <w:r>
        <w:t>chón</w:t>
      </w:r>
      <w:r w:rsidRPr="003050D0">
        <w:t>g</w:t>
      </w:r>
      <w:r>
        <w:t>,</w:t>
      </w:r>
      <w:r w:rsidRPr="003050D0">
        <w:t xml:space="preserve"> kị</w:t>
      </w:r>
      <w:r>
        <w:t>p</w:t>
      </w:r>
      <w:r w:rsidRPr="003050D0">
        <w:t xml:space="preserve"> t</w:t>
      </w:r>
      <w:r>
        <w:t>h</w:t>
      </w:r>
      <w:r w:rsidRPr="003050D0">
        <w:t>ờ</w:t>
      </w:r>
      <w:r>
        <w:t>i</w:t>
      </w:r>
      <w:r w:rsidRPr="003050D0">
        <w:t xml:space="preserve"> v</w:t>
      </w:r>
      <w:r>
        <w:t>ề</w:t>
      </w:r>
      <w:r w:rsidR="00D6139F">
        <w:t xml:space="preserve"> </w:t>
      </w:r>
      <w:r>
        <w:t>ch</w:t>
      </w:r>
      <w:r w:rsidRPr="003050D0">
        <w:t>iế</w:t>
      </w:r>
      <w:r>
        <w:t>n</w:t>
      </w:r>
      <w:r w:rsidR="00D6139F">
        <w:t xml:space="preserve"> </w:t>
      </w:r>
      <w:r>
        <w:t>l</w:t>
      </w:r>
      <w:r w:rsidRPr="003050D0">
        <w:t>ư</w:t>
      </w:r>
      <w:r>
        <w:t>ợc,</w:t>
      </w:r>
      <w:r w:rsidRPr="003050D0">
        <w:t xml:space="preserve"> đị</w:t>
      </w:r>
      <w:r>
        <w:t>nh</w:t>
      </w:r>
      <w:r w:rsidR="00D6139F">
        <w:t xml:space="preserve"> </w:t>
      </w:r>
      <w:r>
        <w:t>h</w:t>
      </w:r>
      <w:r w:rsidRPr="003050D0">
        <w:t>ư</w:t>
      </w:r>
      <w:r>
        <w:t>ớng</w:t>
      </w:r>
      <w:r w:rsidR="00D6139F">
        <w:t xml:space="preserve"> </w:t>
      </w:r>
      <w:r>
        <w:t>hoạt động</w:t>
      </w:r>
      <w:r w:rsidR="00D6139F">
        <w:t xml:space="preserve"> </w:t>
      </w:r>
      <w:r>
        <w:t>của VIS</w:t>
      </w:r>
      <w:r w:rsidRPr="003050D0">
        <w:t>.</w:t>
      </w:r>
      <w:r>
        <w:t xml:space="preserve"> Trong năm 201</w:t>
      </w:r>
      <w:r w:rsidR="00442C8A">
        <w:t>6</w:t>
      </w:r>
      <w:r>
        <w:t xml:space="preserve">, HĐQT cũng đã ban hành </w:t>
      </w:r>
      <w:r w:rsidR="0093108D">
        <w:t>0</w:t>
      </w:r>
      <w:r w:rsidR="0085782C">
        <w:t>9</w:t>
      </w:r>
      <w:r>
        <w:t xml:space="preserve"> Nghị Quyết liên quan đ</w:t>
      </w:r>
      <w:r w:rsidR="001F170E">
        <w:t>ến nhân sự và hoạt động của VI</w:t>
      </w:r>
      <w:bookmarkStart w:id="1" w:name="_bookmark10"/>
      <w:bookmarkStart w:id="2" w:name="_bookmark11"/>
      <w:bookmarkStart w:id="3" w:name="_bookmark12"/>
      <w:bookmarkStart w:id="4" w:name="PHẦN_2._ĐỊNH_HƯỚNG_PHÁT_TRIỂN_&amp;_NHIỆM_VỤ"/>
      <w:bookmarkStart w:id="5" w:name="_bookmark13"/>
      <w:bookmarkEnd w:id="1"/>
      <w:bookmarkEnd w:id="2"/>
      <w:bookmarkEnd w:id="3"/>
      <w:bookmarkEnd w:id="4"/>
      <w:bookmarkEnd w:id="5"/>
      <w:r w:rsidR="00247460">
        <w:t>S.</w:t>
      </w:r>
    </w:p>
    <w:p w:rsidR="008A780E" w:rsidRDefault="003E20B0" w:rsidP="00D02B97">
      <w:pPr>
        <w:ind w:firstLine="720"/>
      </w:pPr>
      <w:r>
        <w:t>Trong bối cảnh thị trường Chứng khoán trong nước nhiều biến động, m</w:t>
      </w:r>
      <w:r w:rsidR="008A780E">
        <w:t xml:space="preserve">ặc dù HĐQT </w:t>
      </w:r>
      <w:r w:rsidR="0076264B">
        <w:t xml:space="preserve">đã </w:t>
      </w:r>
      <w:r w:rsidR="008A780E">
        <w:t xml:space="preserve">chỉ đạo sát sao và </w:t>
      </w:r>
      <w:r>
        <w:t xml:space="preserve">toàn thể Ban </w:t>
      </w:r>
      <w:proofErr w:type="gramStart"/>
      <w:r>
        <w:t>điều  hành</w:t>
      </w:r>
      <w:proofErr w:type="gramEnd"/>
      <w:r>
        <w:t xml:space="preserve"> cũng như Cán bộ nhân viên Công ty đã </w:t>
      </w:r>
      <w:r w:rsidR="008A780E">
        <w:t>cố gắng nỗ lực nhưng k</w:t>
      </w:r>
      <w:r w:rsidR="00CB38A1" w:rsidRPr="000B7FA7">
        <w:t>ết quả hoạt động kinh doanh năm 201</w:t>
      </w:r>
      <w:r w:rsidR="00442C8A">
        <w:t>6</w:t>
      </w:r>
      <w:r w:rsidR="008A780E">
        <w:t xml:space="preserve"> </w:t>
      </w:r>
      <w:r w:rsidR="00442C8A">
        <w:t>tuy có lãi</w:t>
      </w:r>
      <w:r w:rsidR="000736C7">
        <w:t xml:space="preserve"> nhưng</w:t>
      </w:r>
      <w:r w:rsidR="00442C8A">
        <w:t xml:space="preserve"> </w:t>
      </w:r>
      <w:r w:rsidR="008A780E">
        <w:t xml:space="preserve">chưa đạt kế hoạch đặt ra: </w:t>
      </w:r>
    </w:p>
    <w:p w:rsidR="008427FC" w:rsidRPr="00DB3C8D" w:rsidRDefault="00731C08" w:rsidP="0002261C">
      <w:pPr>
        <w:pStyle w:val="Heading1"/>
      </w:pPr>
      <w:r>
        <w:tab/>
        <w:t xml:space="preserve">    </w:t>
      </w:r>
      <w:r w:rsidR="008427FC" w:rsidRPr="00DB3C8D">
        <w:t xml:space="preserve">Đơn vị: </w:t>
      </w:r>
      <w:r w:rsidR="008427FC">
        <w:t>triệu</w:t>
      </w:r>
      <w:r w:rsidR="008427FC" w:rsidRPr="00DB3C8D">
        <w:t xml:space="preserve"> đồng</w:t>
      </w:r>
    </w:p>
    <w:p w:rsidR="008427FC" w:rsidRDefault="008427FC" w:rsidP="008427FC">
      <w:pPr>
        <w:spacing w:before="4" w:line="80" w:lineRule="atLeast"/>
        <w:rPr>
          <w:rFonts w:ascii="Times New Roman" w:hAnsi="Times New Roman"/>
          <w:sz w:val="6"/>
          <w:szCs w:val="6"/>
        </w:rPr>
      </w:pPr>
    </w:p>
    <w:tbl>
      <w:tblPr>
        <w:tblW w:w="8879" w:type="dxa"/>
        <w:tblInd w:w="18" w:type="dxa"/>
        <w:tblLook w:val="04A0" w:firstRow="1" w:lastRow="0" w:firstColumn="1" w:lastColumn="0" w:noHBand="0" w:noVBand="1"/>
      </w:tblPr>
      <w:tblGrid>
        <w:gridCol w:w="2925"/>
        <w:gridCol w:w="2096"/>
        <w:gridCol w:w="2126"/>
        <w:gridCol w:w="1732"/>
      </w:tblGrid>
      <w:tr w:rsidR="00345175" w:rsidTr="00B14E2A">
        <w:trPr>
          <w:trHeight w:val="384"/>
        </w:trPr>
        <w:tc>
          <w:tcPr>
            <w:tcW w:w="2925" w:type="dxa"/>
            <w:vMerge w:val="restart"/>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Default="00345175">
            <w:pPr>
              <w:jc w:val="center"/>
              <w:rPr>
                <w:b/>
                <w:bCs/>
                <w:color w:val="FFFFFF"/>
                <w:sz w:val="23"/>
                <w:szCs w:val="23"/>
                <w:lang w:val="fr-FR" w:eastAsia="fr-FR"/>
              </w:rPr>
            </w:pPr>
            <w:r>
              <w:rPr>
                <w:b/>
                <w:bCs/>
                <w:color w:val="FFFFFF"/>
                <w:sz w:val="23"/>
                <w:szCs w:val="23"/>
              </w:rPr>
              <w:t>Chỉ tiêu</w:t>
            </w:r>
          </w:p>
        </w:tc>
        <w:tc>
          <w:tcPr>
            <w:tcW w:w="2096" w:type="dxa"/>
            <w:vMerge w:val="restart"/>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Default="007B23EF" w:rsidP="00586B48">
            <w:pPr>
              <w:jc w:val="center"/>
              <w:rPr>
                <w:b/>
                <w:bCs/>
                <w:color w:val="FFFFFF"/>
                <w:sz w:val="23"/>
                <w:szCs w:val="23"/>
                <w:lang w:val="fr-FR" w:eastAsia="fr-FR"/>
              </w:rPr>
            </w:pPr>
            <w:r>
              <w:rPr>
                <w:b/>
                <w:bCs/>
                <w:color w:val="FFFFFF"/>
                <w:sz w:val="23"/>
                <w:szCs w:val="23"/>
              </w:rPr>
              <w:t>Kế hoạch</w:t>
            </w:r>
            <w:r w:rsidR="00345175">
              <w:rPr>
                <w:b/>
                <w:bCs/>
                <w:color w:val="FFFFFF"/>
                <w:sz w:val="23"/>
                <w:szCs w:val="23"/>
              </w:rPr>
              <w:t xml:space="preserve"> năm 201</w:t>
            </w:r>
            <w:r w:rsidR="00586B48">
              <w:rPr>
                <w:b/>
                <w:bCs/>
                <w:color w:val="FFFFFF"/>
                <w:sz w:val="23"/>
                <w:szCs w:val="23"/>
              </w:rPr>
              <w:t>6</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Default="007B23EF" w:rsidP="00586B48">
            <w:pPr>
              <w:jc w:val="center"/>
              <w:rPr>
                <w:b/>
                <w:bCs/>
                <w:color w:val="FFFFFF"/>
                <w:sz w:val="23"/>
                <w:szCs w:val="23"/>
                <w:lang w:val="fr-FR" w:eastAsia="fr-FR"/>
              </w:rPr>
            </w:pPr>
            <w:r>
              <w:rPr>
                <w:b/>
                <w:bCs/>
                <w:color w:val="FFFFFF"/>
                <w:sz w:val="23"/>
                <w:szCs w:val="23"/>
              </w:rPr>
              <w:t>Thực hiện</w:t>
            </w:r>
            <w:r w:rsidR="00345175">
              <w:rPr>
                <w:b/>
                <w:bCs/>
                <w:color w:val="FFFFFF"/>
                <w:sz w:val="23"/>
                <w:szCs w:val="23"/>
              </w:rPr>
              <w:t xml:space="preserve"> năm 201</w:t>
            </w:r>
            <w:r w:rsidR="00586B48">
              <w:rPr>
                <w:b/>
                <w:bCs/>
                <w:color w:val="FFFFFF"/>
                <w:sz w:val="23"/>
                <w:szCs w:val="23"/>
              </w:rPr>
              <w:t>6</w:t>
            </w:r>
          </w:p>
        </w:tc>
        <w:tc>
          <w:tcPr>
            <w:tcW w:w="1732" w:type="dxa"/>
            <w:vMerge w:val="restart"/>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Pr="00960BB9" w:rsidRDefault="00345175">
            <w:pPr>
              <w:jc w:val="center"/>
              <w:rPr>
                <w:b/>
                <w:bCs/>
                <w:color w:val="FFFFFF"/>
                <w:sz w:val="23"/>
                <w:szCs w:val="23"/>
                <w:lang w:eastAsia="fr-FR"/>
              </w:rPr>
            </w:pPr>
            <w:r>
              <w:rPr>
                <w:b/>
                <w:bCs/>
                <w:color w:val="FFFFFF"/>
                <w:sz w:val="23"/>
                <w:szCs w:val="23"/>
              </w:rPr>
              <w:t>% thực hiện so với kế hoạch năm</w:t>
            </w:r>
          </w:p>
        </w:tc>
      </w:tr>
      <w:tr w:rsidR="00345175" w:rsidTr="00B14E2A">
        <w:trPr>
          <w:trHeight w:val="504"/>
        </w:trPr>
        <w:tc>
          <w:tcPr>
            <w:tcW w:w="2925" w:type="dxa"/>
            <w:vMerge/>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Pr="00960BB9" w:rsidRDefault="00345175">
            <w:pPr>
              <w:rPr>
                <w:b/>
                <w:bCs/>
                <w:color w:val="FFFFFF"/>
                <w:sz w:val="23"/>
                <w:szCs w:val="23"/>
                <w:lang w:eastAsia="fr-FR"/>
              </w:rPr>
            </w:pPr>
          </w:p>
        </w:tc>
        <w:tc>
          <w:tcPr>
            <w:tcW w:w="2096" w:type="dxa"/>
            <w:vMerge/>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Pr="00960BB9" w:rsidRDefault="00345175">
            <w:pPr>
              <w:rPr>
                <w:b/>
                <w:bCs/>
                <w:color w:val="FFFFFF"/>
                <w:sz w:val="23"/>
                <w:szCs w:val="23"/>
                <w:lang w:eastAsia="fr-FR"/>
              </w:rPr>
            </w:pPr>
          </w:p>
        </w:tc>
        <w:tc>
          <w:tcPr>
            <w:tcW w:w="2126" w:type="dxa"/>
            <w:vMerge/>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Pr="00960BB9" w:rsidRDefault="00345175">
            <w:pPr>
              <w:rPr>
                <w:b/>
                <w:bCs/>
                <w:color w:val="FFFFFF"/>
                <w:sz w:val="23"/>
                <w:szCs w:val="23"/>
                <w:lang w:eastAsia="fr-FR"/>
              </w:rPr>
            </w:pPr>
          </w:p>
        </w:tc>
        <w:tc>
          <w:tcPr>
            <w:tcW w:w="1732" w:type="dxa"/>
            <w:vMerge/>
            <w:tcBorders>
              <w:top w:val="single" w:sz="8" w:space="0" w:color="auto"/>
              <w:left w:val="single" w:sz="8" w:space="0" w:color="auto"/>
              <w:bottom w:val="single" w:sz="8" w:space="0" w:color="000000"/>
              <w:right w:val="single" w:sz="8" w:space="0" w:color="auto"/>
            </w:tcBorders>
            <w:shd w:val="clear" w:color="auto" w:fill="5B9BD5" w:themeFill="accent1"/>
            <w:vAlign w:val="center"/>
            <w:hideMark/>
          </w:tcPr>
          <w:p w:rsidR="00345175" w:rsidRPr="00960BB9" w:rsidRDefault="00345175">
            <w:pPr>
              <w:rPr>
                <w:b/>
                <w:bCs/>
                <w:color w:val="FFFFFF"/>
                <w:sz w:val="23"/>
                <w:szCs w:val="23"/>
                <w:lang w:eastAsia="fr-FR"/>
              </w:rPr>
            </w:pPr>
          </w:p>
        </w:tc>
      </w:tr>
      <w:tr w:rsidR="00C1135F" w:rsidTr="001B1EE9">
        <w:trPr>
          <w:trHeight w:val="313"/>
        </w:trPr>
        <w:tc>
          <w:tcPr>
            <w:tcW w:w="2925" w:type="dxa"/>
            <w:tcBorders>
              <w:top w:val="nil"/>
              <w:left w:val="single" w:sz="8" w:space="0" w:color="auto"/>
              <w:bottom w:val="single" w:sz="8" w:space="0" w:color="auto"/>
              <w:right w:val="single" w:sz="8" w:space="0" w:color="auto"/>
            </w:tcBorders>
            <w:vAlign w:val="center"/>
            <w:hideMark/>
          </w:tcPr>
          <w:p w:rsidR="00C1135F" w:rsidRDefault="00081162" w:rsidP="00081162">
            <w:pPr>
              <w:jc w:val="left"/>
              <w:rPr>
                <w:b/>
                <w:i/>
                <w:lang w:val="fr-FR" w:eastAsia="fr-FR"/>
              </w:rPr>
            </w:pPr>
            <w:r>
              <w:rPr>
                <w:b/>
                <w:i/>
              </w:rPr>
              <w:t xml:space="preserve">Tổng </w:t>
            </w:r>
            <w:r w:rsidR="00C1135F">
              <w:rPr>
                <w:b/>
                <w:i/>
              </w:rPr>
              <w:t xml:space="preserve">Doanh thu </w:t>
            </w:r>
          </w:p>
        </w:tc>
        <w:tc>
          <w:tcPr>
            <w:tcW w:w="2096" w:type="dxa"/>
            <w:tcBorders>
              <w:top w:val="nil"/>
              <w:left w:val="nil"/>
              <w:bottom w:val="single" w:sz="8" w:space="0" w:color="auto"/>
              <w:right w:val="single" w:sz="8" w:space="0" w:color="auto"/>
            </w:tcBorders>
            <w:vAlign w:val="center"/>
          </w:tcPr>
          <w:p w:rsidR="00C1135F" w:rsidRPr="00C1135F" w:rsidRDefault="00424BF4" w:rsidP="009312F1">
            <w:pPr>
              <w:pStyle w:val="NormalWeb"/>
              <w:spacing w:before="0" w:beforeAutospacing="0" w:after="0" w:afterAutospacing="0" w:line="340" w:lineRule="atLeast"/>
              <w:jc w:val="center"/>
              <w:textAlignment w:val="bottom"/>
              <w:rPr>
                <w:rFonts w:ascii="Arial" w:hAnsi="Arial" w:cs="Arial"/>
                <w:b/>
                <w:i/>
              </w:rPr>
            </w:pPr>
            <w:r>
              <w:rPr>
                <w:rFonts w:ascii="Arial" w:hAnsi="Arial" w:cs="Arial"/>
                <w:b/>
                <w:i/>
              </w:rPr>
              <w:t>56.265</w:t>
            </w:r>
          </w:p>
        </w:tc>
        <w:tc>
          <w:tcPr>
            <w:tcW w:w="2126" w:type="dxa"/>
            <w:tcBorders>
              <w:top w:val="nil"/>
              <w:left w:val="nil"/>
              <w:bottom w:val="single" w:sz="8" w:space="0" w:color="auto"/>
              <w:right w:val="single" w:sz="8" w:space="0" w:color="auto"/>
            </w:tcBorders>
            <w:vAlign w:val="center"/>
          </w:tcPr>
          <w:p w:rsidR="00C1135F" w:rsidRPr="00C1135F" w:rsidRDefault="009230C1" w:rsidP="009312F1">
            <w:pPr>
              <w:pStyle w:val="NormalWeb"/>
              <w:spacing w:before="0" w:beforeAutospacing="0" w:after="0" w:afterAutospacing="0" w:line="340" w:lineRule="atLeast"/>
              <w:jc w:val="center"/>
              <w:textAlignment w:val="bottom"/>
              <w:rPr>
                <w:rFonts w:ascii="Arial" w:hAnsi="Arial" w:cs="Arial"/>
                <w:b/>
                <w:i/>
              </w:rPr>
            </w:pPr>
            <w:r>
              <w:rPr>
                <w:rFonts w:ascii="Arial" w:hAnsi="Arial" w:cs="Arial"/>
                <w:b/>
                <w:i/>
              </w:rPr>
              <w:t>44.011</w:t>
            </w:r>
          </w:p>
        </w:tc>
        <w:tc>
          <w:tcPr>
            <w:tcW w:w="1732" w:type="dxa"/>
            <w:tcBorders>
              <w:top w:val="nil"/>
              <w:left w:val="nil"/>
              <w:bottom w:val="single" w:sz="8" w:space="0" w:color="auto"/>
              <w:right w:val="single" w:sz="8" w:space="0" w:color="auto"/>
            </w:tcBorders>
            <w:vAlign w:val="center"/>
          </w:tcPr>
          <w:p w:rsidR="00C1135F" w:rsidRPr="00C1135F" w:rsidRDefault="00403D1D" w:rsidP="00C1135F">
            <w:pPr>
              <w:jc w:val="center"/>
              <w:rPr>
                <w:rFonts w:cs="Arial"/>
                <w:b/>
                <w:i/>
              </w:rPr>
            </w:pPr>
            <w:r>
              <w:rPr>
                <w:rFonts w:cs="Arial"/>
                <w:b/>
                <w:i/>
              </w:rPr>
              <w:t>75,87</w:t>
            </w:r>
          </w:p>
        </w:tc>
      </w:tr>
      <w:tr w:rsidR="00C1135F" w:rsidTr="001B1EE9">
        <w:trPr>
          <w:trHeight w:val="330"/>
        </w:trPr>
        <w:tc>
          <w:tcPr>
            <w:tcW w:w="2925" w:type="dxa"/>
            <w:tcBorders>
              <w:top w:val="nil"/>
              <w:left w:val="single" w:sz="8" w:space="0" w:color="auto"/>
              <w:bottom w:val="single" w:sz="8" w:space="0" w:color="auto"/>
              <w:right w:val="single" w:sz="8" w:space="0" w:color="auto"/>
            </w:tcBorders>
            <w:vAlign w:val="center"/>
            <w:hideMark/>
          </w:tcPr>
          <w:p w:rsidR="00C1135F" w:rsidRDefault="00081162" w:rsidP="00C1135F">
            <w:pPr>
              <w:jc w:val="left"/>
              <w:rPr>
                <w:b/>
                <w:i/>
                <w:lang w:val="fr-FR" w:eastAsia="fr-FR"/>
              </w:rPr>
            </w:pPr>
            <w:r>
              <w:rPr>
                <w:b/>
                <w:i/>
              </w:rPr>
              <w:t xml:space="preserve">Tổng </w:t>
            </w:r>
            <w:r w:rsidR="00C1135F">
              <w:rPr>
                <w:b/>
                <w:i/>
              </w:rPr>
              <w:t>Chi phí</w:t>
            </w:r>
          </w:p>
        </w:tc>
        <w:tc>
          <w:tcPr>
            <w:tcW w:w="2096" w:type="dxa"/>
            <w:tcBorders>
              <w:top w:val="nil"/>
              <w:left w:val="nil"/>
              <w:bottom w:val="single" w:sz="8" w:space="0" w:color="auto"/>
              <w:right w:val="single" w:sz="8" w:space="0" w:color="auto"/>
            </w:tcBorders>
            <w:vAlign w:val="center"/>
          </w:tcPr>
          <w:p w:rsidR="00C1135F" w:rsidRPr="00C1135F" w:rsidRDefault="00424BF4" w:rsidP="00C1135F">
            <w:pPr>
              <w:pStyle w:val="NormalWeb"/>
              <w:spacing w:before="0" w:beforeAutospacing="0" w:after="0" w:afterAutospacing="0" w:line="340" w:lineRule="atLeast"/>
              <w:jc w:val="center"/>
              <w:textAlignment w:val="bottom"/>
              <w:rPr>
                <w:rFonts w:ascii="Arial" w:hAnsi="Arial" w:cs="Arial"/>
                <w:b/>
                <w:i/>
              </w:rPr>
            </w:pPr>
            <w:r>
              <w:rPr>
                <w:rFonts w:ascii="Arial" w:hAnsi="Arial" w:cs="Arial"/>
                <w:b/>
                <w:i/>
              </w:rPr>
              <w:t>42.760</w:t>
            </w:r>
          </w:p>
        </w:tc>
        <w:tc>
          <w:tcPr>
            <w:tcW w:w="2126" w:type="dxa"/>
            <w:tcBorders>
              <w:top w:val="nil"/>
              <w:left w:val="nil"/>
              <w:bottom w:val="single" w:sz="8" w:space="0" w:color="auto"/>
              <w:right w:val="single" w:sz="8" w:space="0" w:color="auto"/>
            </w:tcBorders>
            <w:vAlign w:val="center"/>
          </w:tcPr>
          <w:p w:rsidR="00C1135F" w:rsidRPr="00C1135F" w:rsidRDefault="00081162" w:rsidP="00403D1D">
            <w:pPr>
              <w:pStyle w:val="NormalWeb"/>
              <w:spacing w:before="0" w:beforeAutospacing="0" w:after="0" w:afterAutospacing="0" w:line="340" w:lineRule="atLeast"/>
              <w:jc w:val="center"/>
              <w:textAlignment w:val="bottom"/>
              <w:rPr>
                <w:rFonts w:ascii="Arial" w:hAnsi="Arial" w:cs="Arial"/>
                <w:b/>
                <w:i/>
              </w:rPr>
            </w:pPr>
            <w:r>
              <w:rPr>
                <w:rFonts w:ascii="Arial" w:hAnsi="Arial" w:cs="Arial"/>
                <w:b/>
                <w:i/>
              </w:rPr>
              <w:t>40.2</w:t>
            </w:r>
            <w:r w:rsidR="00403D1D">
              <w:rPr>
                <w:rFonts w:ascii="Arial" w:hAnsi="Arial" w:cs="Arial"/>
                <w:b/>
                <w:i/>
              </w:rPr>
              <w:t>70</w:t>
            </w:r>
          </w:p>
        </w:tc>
        <w:tc>
          <w:tcPr>
            <w:tcW w:w="1732" w:type="dxa"/>
            <w:tcBorders>
              <w:top w:val="nil"/>
              <w:left w:val="nil"/>
              <w:bottom w:val="single" w:sz="8" w:space="0" w:color="auto"/>
              <w:right w:val="single" w:sz="8" w:space="0" w:color="auto"/>
            </w:tcBorders>
            <w:vAlign w:val="center"/>
          </w:tcPr>
          <w:p w:rsidR="00C1135F" w:rsidRPr="00C1135F" w:rsidRDefault="00403D1D" w:rsidP="00C1135F">
            <w:pPr>
              <w:jc w:val="center"/>
              <w:rPr>
                <w:rFonts w:cs="Arial"/>
                <w:b/>
                <w:i/>
              </w:rPr>
            </w:pPr>
            <w:r>
              <w:rPr>
                <w:rFonts w:cs="Arial"/>
                <w:b/>
                <w:i/>
              </w:rPr>
              <w:t>94,18</w:t>
            </w:r>
          </w:p>
        </w:tc>
      </w:tr>
      <w:tr w:rsidR="00C1135F" w:rsidTr="001B1EE9">
        <w:trPr>
          <w:trHeight w:val="330"/>
        </w:trPr>
        <w:tc>
          <w:tcPr>
            <w:tcW w:w="2925" w:type="dxa"/>
            <w:tcBorders>
              <w:top w:val="nil"/>
              <w:left w:val="single" w:sz="8" w:space="0" w:color="auto"/>
              <w:bottom w:val="single" w:sz="8" w:space="0" w:color="auto"/>
              <w:right w:val="single" w:sz="8" w:space="0" w:color="auto"/>
            </w:tcBorders>
            <w:vAlign w:val="center"/>
            <w:hideMark/>
          </w:tcPr>
          <w:p w:rsidR="00C1135F" w:rsidRDefault="00C1135F" w:rsidP="00C1135F">
            <w:pPr>
              <w:jc w:val="left"/>
              <w:rPr>
                <w:b/>
                <w:i/>
                <w:lang w:val="fr-FR" w:eastAsia="fr-FR"/>
              </w:rPr>
            </w:pPr>
            <w:r>
              <w:rPr>
                <w:b/>
                <w:i/>
              </w:rPr>
              <w:t>Lợi nhuận trước thuế</w:t>
            </w:r>
          </w:p>
        </w:tc>
        <w:tc>
          <w:tcPr>
            <w:tcW w:w="2096" w:type="dxa"/>
            <w:tcBorders>
              <w:top w:val="nil"/>
              <w:left w:val="nil"/>
              <w:bottom w:val="single" w:sz="8" w:space="0" w:color="auto"/>
              <w:right w:val="single" w:sz="8" w:space="0" w:color="auto"/>
            </w:tcBorders>
            <w:vAlign w:val="center"/>
          </w:tcPr>
          <w:p w:rsidR="00C1135F" w:rsidRPr="00C1135F" w:rsidRDefault="00424BF4" w:rsidP="00403D1D">
            <w:pPr>
              <w:pStyle w:val="NormalWeb"/>
              <w:spacing w:before="0" w:beforeAutospacing="0" w:after="0" w:afterAutospacing="0" w:line="340" w:lineRule="atLeast"/>
              <w:jc w:val="center"/>
              <w:textAlignment w:val="bottom"/>
              <w:rPr>
                <w:rFonts w:ascii="Arial" w:hAnsi="Arial" w:cs="Arial"/>
                <w:b/>
                <w:i/>
              </w:rPr>
            </w:pPr>
            <w:r w:rsidRPr="00424BF4">
              <w:rPr>
                <w:rFonts w:ascii="Arial" w:hAnsi="Arial" w:cs="Arial"/>
                <w:b/>
                <w:i/>
              </w:rPr>
              <w:t>13</w:t>
            </w:r>
            <w:r w:rsidR="00403D1D">
              <w:rPr>
                <w:rFonts w:ascii="Arial" w:hAnsi="Arial" w:cs="Arial"/>
                <w:b/>
                <w:i/>
              </w:rPr>
              <w:t>.</w:t>
            </w:r>
            <w:r w:rsidRPr="00424BF4">
              <w:rPr>
                <w:rFonts w:ascii="Arial" w:hAnsi="Arial" w:cs="Arial"/>
                <w:b/>
                <w:i/>
              </w:rPr>
              <w:t>505</w:t>
            </w:r>
          </w:p>
        </w:tc>
        <w:tc>
          <w:tcPr>
            <w:tcW w:w="2126" w:type="dxa"/>
            <w:tcBorders>
              <w:top w:val="nil"/>
              <w:left w:val="nil"/>
              <w:bottom w:val="single" w:sz="8" w:space="0" w:color="auto"/>
              <w:right w:val="single" w:sz="8" w:space="0" w:color="auto"/>
            </w:tcBorders>
            <w:vAlign w:val="center"/>
          </w:tcPr>
          <w:p w:rsidR="00C1135F" w:rsidRPr="00C1135F" w:rsidRDefault="00403D1D" w:rsidP="00403D1D">
            <w:pPr>
              <w:pStyle w:val="NormalWeb"/>
              <w:spacing w:before="0" w:beforeAutospacing="0" w:after="0" w:afterAutospacing="0" w:line="340" w:lineRule="atLeast"/>
              <w:jc w:val="center"/>
              <w:textAlignment w:val="bottom"/>
              <w:rPr>
                <w:rFonts w:ascii="Arial" w:hAnsi="Arial" w:cs="Arial"/>
                <w:b/>
                <w:i/>
              </w:rPr>
            </w:pPr>
            <w:r>
              <w:rPr>
                <w:rFonts w:ascii="Arial" w:hAnsi="Arial" w:cs="Arial"/>
                <w:b/>
                <w:i/>
              </w:rPr>
              <w:t>3.741</w:t>
            </w:r>
          </w:p>
        </w:tc>
        <w:tc>
          <w:tcPr>
            <w:tcW w:w="1732" w:type="dxa"/>
            <w:tcBorders>
              <w:top w:val="nil"/>
              <w:left w:val="nil"/>
              <w:bottom w:val="single" w:sz="8" w:space="0" w:color="auto"/>
              <w:right w:val="single" w:sz="8" w:space="0" w:color="auto"/>
            </w:tcBorders>
            <w:vAlign w:val="center"/>
          </w:tcPr>
          <w:p w:rsidR="00C1135F" w:rsidRPr="00C1135F" w:rsidRDefault="00403D1D" w:rsidP="00C1135F">
            <w:pPr>
              <w:jc w:val="center"/>
              <w:rPr>
                <w:rFonts w:cs="Arial"/>
                <w:b/>
                <w:i/>
              </w:rPr>
            </w:pPr>
            <w:r>
              <w:rPr>
                <w:rFonts w:cs="Arial"/>
                <w:b/>
                <w:i/>
              </w:rPr>
              <w:t>27,7</w:t>
            </w:r>
          </w:p>
        </w:tc>
      </w:tr>
      <w:tr w:rsidR="00C1135F" w:rsidTr="00C1135F">
        <w:trPr>
          <w:trHeight w:val="358"/>
        </w:trPr>
        <w:tc>
          <w:tcPr>
            <w:tcW w:w="2925" w:type="dxa"/>
            <w:tcBorders>
              <w:top w:val="nil"/>
              <w:left w:val="single" w:sz="8" w:space="0" w:color="auto"/>
              <w:bottom w:val="single" w:sz="8" w:space="0" w:color="auto"/>
              <w:right w:val="single" w:sz="8" w:space="0" w:color="auto"/>
            </w:tcBorders>
            <w:vAlign w:val="center"/>
            <w:hideMark/>
          </w:tcPr>
          <w:p w:rsidR="00C1135F" w:rsidRDefault="00C1135F" w:rsidP="00C1135F">
            <w:pPr>
              <w:jc w:val="left"/>
              <w:rPr>
                <w:b/>
                <w:i/>
                <w:lang w:val="fr-FR" w:eastAsia="fr-FR"/>
              </w:rPr>
            </w:pPr>
            <w:r>
              <w:rPr>
                <w:b/>
                <w:i/>
              </w:rPr>
              <w:lastRenderedPageBreak/>
              <w:t>Vốn điều lệ</w:t>
            </w:r>
          </w:p>
        </w:tc>
        <w:tc>
          <w:tcPr>
            <w:tcW w:w="2096" w:type="dxa"/>
            <w:tcBorders>
              <w:top w:val="nil"/>
              <w:left w:val="nil"/>
              <w:bottom w:val="single" w:sz="8" w:space="0" w:color="auto"/>
              <w:right w:val="single" w:sz="8" w:space="0" w:color="auto"/>
            </w:tcBorders>
            <w:vAlign w:val="center"/>
            <w:hideMark/>
          </w:tcPr>
          <w:p w:rsidR="00C1135F" w:rsidRPr="00C1135F" w:rsidRDefault="00586B48" w:rsidP="00C1135F">
            <w:pPr>
              <w:pStyle w:val="NormalWeb"/>
              <w:spacing w:before="0" w:beforeAutospacing="0" w:after="0" w:afterAutospacing="0" w:line="340" w:lineRule="atLeast"/>
              <w:jc w:val="center"/>
              <w:textAlignment w:val="bottom"/>
              <w:rPr>
                <w:rFonts w:ascii="Arial" w:hAnsi="Arial" w:cs="Arial"/>
                <w:b/>
                <w:i/>
              </w:rPr>
            </w:pPr>
            <w:r>
              <w:rPr>
                <w:rFonts w:ascii="Arial" w:hAnsi="Arial" w:cs="Arial"/>
                <w:b/>
                <w:i/>
                <w:color w:val="000000"/>
                <w:kern w:val="24"/>
              </w:rPr>
              <w:t>300</w:t>
            </w:r>
            <w:r w:rsidR="009312F1">
              <w:rPr>
                <w:rFonts w:ascii="Arial" w:hAnsi="Arial" w:cs="Arial"/>
                <w:b/>
                <w:i/>
                <w:color w:val="000000"/>
                <w:kern w:val="24"/>
              </w:rPr>
              <w:t>.</w:t>
            </w:r>
            <w:r w:rsidR="00C1135F" w:rsidRPr="00C1135F">
              <w:rPr>
                <w:rFonts w:ascii="Arial" w:hAnsi="Arial" w:cs="Arial"/>
                <w:b/>
                <w:i/>
                <w:color w:val="000000"/>
                <w:kern w:val="24"/>
              </w:rPr>
              <w:t>000</w:t>
            </w:r>
          </w:p>
        </w:tc>
        <w:tc>
          <w:tcPr>
            <w:tcW w:w="2126" w:type="dxa"/>
            <w:tcBorders>
              <w:top w:val="nil"/>
              <w:left w:val="nil"/>
              <w:bottom w:val="single" w:sz="8" w:space="0" w:color="auto"/>
              <w:right w:val="single" w:sz="8" w:space="0" w:color="auto"/>
            </w:tcBorders>
            <w:vAlign w:val="center"/>
            <w:hideMark/>
          </w:tcPr>
          <w:p w:rsidR="00C1135F" w:rsidRPr="00C1135F" w:rsidRDefault="00586B48" w:rsidP="009312F1">
            <w:pPr>
              <w:pStyle w:val="NormalWeb"/>
              <w:spacing w:before="0" w:beforeAutospacing="0" w:after="0" w:afterAutospacing="0" w:line="340" w:lineRule="atLeast"/>
              <w:jc w:val="center"/>
              <w:textAlignment w:val="bottom"/>
              <w:rPr>
                <w:rFonts w:ascii="Arial" w:hAnsi="Arial" w:cs="Arial"/>
                <w:b/>
                <w:i/>
              </w:rPr>
            </w:pPr>
            <w:r>
              <w:rPr>
                <w:rFonts w:ascii="Arial" w:hAnsi="Arial" w:cs="Arial"/>
                <w:b/>
                <w:i/>
                <w:color w:val="000000"/>
                <w:kern w:val="24"/>
              </w:rPr>
              <w:t>150</w:t>
            </w:r>
            <w:r w:rsidR="009312F1">
              <w:rPr>
                <w:rFonts w:ascii="Arial" w:hAnsi="Arial" w:cs="Arial"/>
                <w:b/>
                <w:i/>
                <w:color w:val="000000"/>
                <w:kern w:val="24"/>
              </w:rPr>
              <w:t>.</w:t>
            </w:r>
            <w:r w:rsidR="00C1135F" w:rsidRPr="00C1135F">
              <w:rPr>
                <w:rFonts w:ascii="Arial" w:hAnsi="Arial" w:cs="Arial"/>
                <w:b/>
                <w:i/>
                <w:color w:val="000000"/>
                <w:kern w:val="24"/>
              </w:rPr>
              <w:t>000</w:t>
            </w:r>
          </w:p>
        </w:tc>
        <w:tc>
          <w:tcPr>
            <w:tcW w:w="1732" w:type="dxa"/>
            <w:tcBorders>
              <w:top w:val="nil"/>
              <w:left w:val="nil"/>
              <w:bottom w:val="single" w:sz="8" w:space="0" w:color="auto"/>
              <w:right w:val="single" w:sz="8" w:space="0" w:color="auto"/>
            </w:tcBorders>
            <w:vAlign w:val="center"/>
            <w:hideMark/>
          </w:tcPr>
          <w:p w:rsidR="00C1135F" w:rsidRPr="00C1135F" w:rsidRDefault="00586B48" w:rsidP="00C1135F">
            <w:pPr>
              <w:jc w:val="center"/>
              <w:rPr>
                <w:rFonts w:cs="Arial"/>
                <w:b/>
                <w:i/>
              </w:rPr>
            </w:pPr>
            <w:r>
              <w:rPr>
                <w:rFonts w:cs="Arial"/>
                <w:b/>
                <w:i/>
              </w:rPr>
              <w:t>50</w:t>
            </w:r>
            <w:r w:rsidR="00C1135F" w:rsidRPr="00C1135F">
              <w:rPr>
                <w:rFonts w:cs="Arial"/>
                <w:b/>
                <w:i/>
              </w:rPr>
              <w:t>%</w:t>
            </w:r>
          </w:p>
        </w:tc>
      </w:tr>
    </w:tbl>
    <w:p w:rsidR="006951D4" w:rsidRPr="0002261C" w:rsidRDefault="00334D87" w:rsidP="0002261C">
      <w:pPr>
        <w:pStyle w:val="Heading1"/>
      </w:pPr>
      <w:r w:rsidRPr="0002261C">
        <w:t>II</w:t>
      </w:r>
      <w:r w:rsidR="006951D4" w:rsidRPr="0002261C">
        <w:t xml:space="preserve">. </w:t>
      </w:r>
      <w:r w:rsidR="00871FB5" w:rsidRPr="0002261C">
        <w:t>KẾT QUẢ GIÁM SÁT CỦA HĐQT ĐỐI VỚI TỔNG GIÁM ĐỐC</w:t>
      </w:r>
      <w:r w:rsidR="00295041" w:rsidRPr="0002261C">
        <w:t xml:space="preserve"> VÀ CÁC CÁN BỘ QUẢN LÝ KHÁC</w:t>
      </w:r>
    </w:p>
    <w:p w:rsidR="001820E2" w:rsidRDefault="001820E2" w:rsidP="001820E2">
      <w:r>
        <w:t>- Chủ tịch HĐQT trực tiếp chỉ đạo Ban Lãnh đạo Công ty thường xuyên về các vấn đề liên quan</w:t>
      </w:r>
      <w:r w:rsidR="00D15F83">
        <w:t xml:space="preserve"> </w:t>
      </w:r>
      <w:r>
        <w:t>đến các mặt hoạt động kinh doanh của Công ty, đưa ra chủ trương, quyết sách kịp thời</w:t>
      </w:r>
      <w:r w:rsidR="00D15F83">
        <w:t xml:space="preserve"> </w:t>
      </w:r>
      <w:r>
        <w:t>phù hợp với từng giai đoạn phát triển của Công ty, hoàn cảnh kinh tế và TTCK, tuân thủ đúng quy định pháp luật;</w:t>
      </w:r>
    </w:p>
    <w:p w:rsidR="00582EF3" w:rsidRDefault="00582EF3" w:rsidP="00582EF3">
      <w:r>
        <w:t>- Ban TGĐ đã tiếp thu và có những biện pháp triển khai nhiệm vụ mà HĐQT giao phó, thường xuyên cập nhật tình hình hoạt động Công ty qua báo cáo trực tiếp và báo cáo bằng văn bản định kỳ;</w:t>
      </w:r>
    </w:p>
    <w:p w:rsidR="001820E2" w:rsidRDefault="001820E2" w:rsidP="001820E2">
      <w:r>
        <w:t>- Hoạt động Môi giới</w:t>
      </w:r>
      <w:r w:rsidR="00B949EF">
        <w:t xml:space="preserve"> và Dịch vụ tài chính</w:t>
      </w:r>
      <w:r>
        <w:t xml:space="preserve"> được </w:t>
      </w:r>
      <w:r w:rsidR="00B949EF">
        <w:t>ưu tiên phát triển</w:t>
      </w:r>
      <w:r w:rsidR="00D15F83">
        <w:t xml:space="preserve"> </w:t>
      </w:r>
      <w:proofErr w:type="gramStart"/>
      <w:r w:rsidR="00D15F83">
        <w:t>theo</w:t>
      </w:r>
      <w:proofErr w:type="gramEnd"/>
      <w:r w:rsidR="00D15F83">
        <w:t xml:space="preserve"> hướng bền vững</w:t>
      </w:r>
      <w:r>
        <w:t xml:space="preserve">, </w:t>
      </w:r>
      <w:r w:rsidR="00FC1713">
        <w:t xml:space="preserve">đảm bảo </w:t>
      </w:r>
      <w:r w:rsidR="00FF0E17">
        <w:t>duy trì</w:t>
      </w:r>
      <w:r w:rsidR="00FC1713">
        <w:t xml:space="preserve"> thị phần giao dịch</w:t>
      </w:r>
      <w:r w:rsidR="00C03C42">
        <w:t>;</w:t>
      </w:r>
    </w:p>
    <w:p w:rsidR="001820E2" w:rsidRDefault="001820E2" w:rsidP="001820E2">
      <w:r>
        <w:t xml:space="preserve">- Tiếp tục xây dựng và ban hành hệ thống văn bản pháp quy, quy chế, quy trình, quy định, tạohành </w:t>
      </w:r>
      <w:proofErr w:type="gramStart"/>
      <w:r>
        <w:t>lang</w:t>
      </w:r>
      <w:proofErr w:type="gramEnd"/>
      <w:r>
        <w:t xml:space="preserve"> pháp lý cho các hoạt động kinh doanh diễn ra đúng quy định pháp luật và Điều lệ</w:t>
      </w:r>
      <w:r w:rsidR="0002261C">
        <w:t xml:space="preserve"> </w:t>
      </w:r>
      <w:r>
        <w:t>Công ty</w:t>
      </w:r>
      <w:r w:rsidR="000D7875">
        <w:t>;</w:t>
      </w:r>
    </w:p>
    <w:p w:rsidR="006951D4" w:rsidRPr="0013199F" w:rsidRDefault="002A1301" w:rsidP="00FC7C3B">
      <w:pPr>
        <w:pStyle w:val="Heading2"/>
      </w:pPr>
      <w:bookmarkStart w:id="6" w:name="_bookmark14"/>
      <w:bookmarkStart w:id="7" w:name="Môi_trường_hoạt_động_kinh_doanh"/>
      <w:bookmarkStart w:id="8" w:name="_bookmark19"/>
      <w:bookmarkEnd w:id="6"/>
      <w:bookmarkEnd w:id="7"/>
      <w:bookmarkEnd w:id="8"/>
      <w:r>
        <w:t>III</w:t>
      </w:r>
      <w:r w:rsidR="00A023AE">
        <w:t>.</w:t>
      </w:r>
      <w:r w:rsidR="00A023AE">
        <w:tab/>
      </w:r>
      <w:r>
        <w:t>KẾ HOẠCH HOẠT ĐỘNG CỦA HĐQT NĂM 201</w:t>
      </w:r>
      <w:r w:rsidR="00187071">
        <w:t>7</w:t>
      </w:r>
    </w:p>
    <w:p w:rsidR="00F47D96" w:rsidRDefault="00D02B97" w:rsidP="00F47D96">
      <w:pPr>
        <w:spacing w:line="360" w:lineRule="auto"/>
      </w:pPr>
      <w:r>
        <w:tab/>
      </w:r>
      <w:r w:rsidR="00F47D96">
        <w:t>Năm 201</w:t>
      </w:r>
      <w:r w:rsidR="00187071">
        <w:t>7</w:t>
      </w:r>
      <w:r w:rsidR="00F47D96">
        <w:t>, HĐQT Công ty sẽ tiếp tục tăng cường công tác quản trị, giá</w:t>
      </w:r>
      <w:r w:rsidR="00B949EF">
        <w:t xml:space="preserve">m sát hoạt động kinh doanh của VIS </w:t>
      </w:r>
      <w:proofErr w:type="gramStart"/>
      <w:r w:rsidR="00F47D96">
        <w:t>theo</w:t>
      </w:r>
      <w:proofErr w:type="gramEnd"/>
      <w:r w:rsidR="00F47D96">
        <w:t xml:space="preserve"> các định hướng sau: </w:t>
      </w:r>
    </w:p>
    <w:p w:rsidR="001510CE" w:rsidRPr="00E867C8" w:rsidRDefault="001510CE" w:rsidP="001510CE">
      <w:pPr>
        <w:pStyle w:val="ListParagraph"/>
        <w:widowControl/>
        <w:numPr>
          <w:ilvl w:val="0"/>
          <w:numId w:val="17"/>
        </w:numPr>
        <w:spacing w:before="0" w:after="0" w:line="360" w:lineRule="auto"/>
        <w:rPr>
          <w:rFonts w:ascii="Times New Roman" w:hAnsi="Times New Roman" w:cs="Times New Roman"/>
          <w:bCs/>
          <w:lang w:val="vi-VN"/>
        </w:rPr>
      </w:pPr>
      <w:r w:rsidRPr="006A6415">
        <w:rPr>
          <w:rFonts w:cs="Arial"/>
          <w:bCs/>
          <w:lang w:val="vi-VN"/>
        </w:rPr>
        <w:t>Tập trung chỉ đạo hoàn thành kế hoạch kinh doanh năm 2017 được Đại hội cổ đông thông qua</w:t>
      </w:r>
      <w:r w:rsidR="00E867C8">
        <w:rPr>
          <w:rFonts w:ascii="Times New Roman" w:hAnsi="Times New Roman" w:cs="Times New Roman"/>
          <w:bCs/>
        </w:rPr>
        <w:t>;</w:t>
      </w:r>
    </w:p>
    <w:p w:rsidR="00E867C8" w:rsidRPr="00E867C8" w:rsidRDefault="00E867C8" w:rsidP="001510CE">
      <w:pPr>
        <w:numPr>
          <w:ilvl w:val="0"/>
          <w:numId w:val="17"/>
        </w:numPr>
        <w:tabs>
          <w:tab w:val="num" w:pos="1024"/>
          <w:tab w:val="left" w:pos="1122"/>
        </w:tabs>
        <w:spacing w:before="0" w:after="0" w:line="360" w:lineRule="auto"/>
        <w:rPr>
          <w:rFonts w:ascii="Times New Roman" w:hAnsi="Times New Roman"/>
          <w:bCs/>
          <w:lang w:val="vi-VN"/>
        </w:rPr>
      </w:pPr>
      <w:r>
        <w:t>Hoàn thành việc đăng ký bổ sung nghiệp vụ Tự doanh;</w:t>
      </w:r>
    </w:p>
    <w:p w:rsidR="00F47D96" w:rsidRPr="006F3C28" w:rsidRDefault="00F47D96" w:rsidP="0096320E">
      <w:pPr>
        <w:pStyle w:val="ListParagraph"/>
        <w:widowControl/>
        <w:numPr>
          <w:ilvl w:val="0"/>
          <w:numId w:val="17"/>
        </w:numPr>
        <w:spacing w:before="0" w:after="0" w:line="360" w:lineRule="auto"/>
        <w:rPr>
          <w:rFonts w:ascii="Times New Roman" w:hAnsi="Times New Roman" w:cs="Times New Roman"/>
          <w:b/>
          <w:bCs/>
          <w:i/>
          <w:lang w:val="vi-VN"/>
        </w:rPr>
      </w:pPr>
      <w:r w:rsidRPr="006F3C28">
        <w:rPr>
          <w:rFonts w:cs="Tahoma"/>
          <w:bCs/>
          <w:lang w:val="vi-VN"/>
        </w:rPr>
        <w:t>Ti</w:t>
      </w:r>
      <w:r w:rsidR="006E1F55" w:rsidRPr="006F3C28">
        <w:rPr>
          <w:rFonts w:cs="Tahoma"/>
          <w:bCs/>
          <w:lang w:val="vi-VN"/>
        </w:rPr>
        <w:t>ếp tục mở rộng hoạt động môi giới và các dịch vụ tài chính đi kèm thông qua việc nâng cao chất lượng dịch vụ</w:t>
      </w:r>
      <w:r w:rsidR="00133A60" w:rsidRPr="006F3C28">
        <w:rPr>
          <w:rFonts w:cs="Tahoma"/>
          <w:bCs/>
          <w:lang w:val="vi-VN"/>
        </w:rPr>
        <w:t>, phát triển các sản phẩm và tiện ích mới nhằm đa dạng hóa các dịch vụ</w:t>
      </w:r>
      <w:r w:rsidR="00C53F03" w:rsidRPr="006F3C28">
        <w:rPr>
          <w:rFonts w:cs="Tahoma"/>
          <w:bCs/>
          <w:lang w:val="vi-VN"/>
        </w:rPr>
        <w:t xml:space="preserve"> tài chính</w:t>
      </w:r>
      <w:r w:rsidR="00346683" w:rsidRPr="006F3C28">
        <w:rPr>
          <w:rFonts w:cs="Tahoma"/>
          <w:bCs/>
          <w:lang w:val="vi-VN"/>
        </w:rPr>
        <w:t>;</w:t>
      </w:r>
    </w:p>
    <w:p w:rsidR="00E40984" w:rsidRDefault="0033191E" w:rsidP="0096320E">
      <w:pPr>
        <w:pStyle w:val="ListParagraph"/>
        <w:widowControl/>
        <w:numPr>
          <w:ilvl w:val="0"/>
          <w:numId w:val="17"/>
        </w:numPr>
        <w:spacing w:before="0" w:after="0" w:line="360" w:lineRule="auto"/>
        <w:rPr>
          <w:rStyle w:val="Strong"/>
          <w:i/>
        </w:rPr>
      </w:pPr>
      <w:r>
        <w:t>Cơ cấu bộ máy</w:t>
      </w:r>
      <w:r w:rsidR="00F74B4C" w:rsidRPr="006F37FA">
        <w:t xml:space="preserve"> nhân sự có chuyên môn, trình độ</w:t>
      </w:r>
      <w:r w:rsidR="00F74B4C">
        <w:t>, có khả năng tìm kiếm các hợp đồng tư vấn có giá trị lớn;</w:t>
      </w:r>
    </w:p>
    <w:p w:rsidR="00F47D96" w:rsidRDefault="00D767C4" w:rsidP="00F47D96">
      <w:pPr>
        <w:numPr>
          <w:ilvl w:val="0"/>
          <w:numId w:val="17"/>
        </w:numPr>
        <w:tabs>
          <w:tab w:val="num" w:pos="1024"/>
          <w:tab w:val="left" w:pos="1122"/>
        </w:tabs>
        <w:spacing w:before="0" w:after="0" w:line="360" w:lineRule="auto"/>
      </w:pPr>
      <w:r>
        <w:t>Tiếp tục x</w:t>
      </w:r>
      <w:r w:rsidR="00F47D96">
        <w:t>ây dựng và ban hành các quy trình, quy định nhằm chuẩn hóa các mặt hoạt động của Công ty</w:t>
      </w:r>
      <w:r w:rsidR="005A50F5">
        <w:t>;</w:t>
      </w:r>
    </w:p>
    <w:p w:rsidR="00F47D96" w:rsidRDefault="00DA5645" w:rsidP="00F47D96">
      <w:pPr>
        <w:numPr>
          <w:ilvl w:val="0"/>
          <w:numId w:val="17"/>
        </w:numPr>
        <w:tabs>
          <w:tab w:val="num" w:pos="1024"/>
          <w:tab w:val="left" w:pos="1122"/>
        </w:tabs>
        <w:spacing w:before="0" w:after="0" w:line="360" w:lineRule="auto"/>
        <w:rPr>
          <w:rFonts w:cs="Tahoma"/>
        </w:rPr>
      </w:pPr>
      <w:r>
        <w:t>Tiếp tục xây dựng và hoàn thiện</w:t>
      </w:r>
      <w:r w:rsidR="00960BB9">
        <w:t xml:space="preserve"> </w:t>
      </w:r>
      <w:r>
        <w:t>hệ thống</w:t>
      </w:r>
      <w:r w:rsidR="00F47D96">
        <w:t xml:space="preserve"> quản trị rủi ro, nâng cao hiệu quả giám sát, kiểm soát đối với tất c</w:t>
      </w:r>
      <w:r w:rsidR="00A06FB9">
        <w:t>ả các mặt hoạt động của Công ty;</w:t>
      </w:r>
    </w:p>
    <w:p w:rsidR="00F47D96" w:rsidRDefault="00F47D96" w:rsidP="00F47D96">
      <w:pPr>
        <w:spacing w:line="360" w:lineRule="auto"/>
        <w:rPr>
          <w:rFonts w:cs="Tahoma"/>
        </w:rPr>
      </w:pPr>
      <w:r>
        <w:rPr>
          <w:rFonts w:cs="Tahoma"/>
        </w:rPr>
        <w:t xml:space="preserve">     Trên đây là báo cáo của HĐQT Công ty Cổ phần Chứng khoán </w:t>
      </w:r>
      <w:r w:rsidR="009A7109">
        <w:rPr>
          <w:rFonts w:cs="Tahoma"/>
        </w:rPr>
        <w:t xml:space="preserve">Quốc tế Việt Nam </w:t>
      </w:r>
      <w:r>
        <w:rPr>
          <w:rFonts w:cs="Tahoma"/>
        </w:rPr>
        <w:t>về kết quả hoạt động năm 201</w:t>
      </w:r>
      <w:r w:rsidR="00960BB9">
        <w:rPr>
          <w:rFonts w:cs="Tahoma"/>
        </w:rPr>
        <w:t>6 và định hướng hoạt động năm 2017</w:t>
      </w:r>
      <w:r>
        <w:rPr>
          <w:rFonts w:cs="Tahoma"/>
        </w:rPr>
        <w:t>.</w:t>
      </w:r>
    </w:p>
    <w:p w:rsidR="00F47D96" w:rsidRDefault="00F47D96" w:rsidP="00F47D96">
      <w:pPr>
        <w:spacing w:line="360" w:lineRule="auto"/>
        <w:rPr>
          <w:rFonts w:cs="Tahoma"/>
        </w:rPr>
      </w:pPr>
      <w:r>
        <w:rPr>
          <w:rFonts w:cs="Tahoma"/>
        </w:rPr>
        <w:t xml:space="preserve">         </w:t>
      </w:r>
      <w:proofErr w:type="gramStart"/>
      <w:r>
        <w:rPr>
          <w:rFonts w:cs="Tahoma"/>
        </w:rPr>
        <w:t>Xin chân thành cảm ơn Quý Cổ đông.</w:t>
      </w:r>
      <w:proofErr w:type="gramEnd"/>
    </w:p>
    <w:p w:rsidR="00B22522" w:rsidRPr="00E302D1" w:rsidRDefault="00B22522" w:rsidP="00B2252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05"/>
      </w:tblGrid>
      <w:tr w:rsidR="00B22522" w:rsidRPr="00B14CB2" w:rsidTr="00B22522">
        <w:trPr>
          <w:jc w:val="center"/>
        </w:trPr>
        <w:tc>
          <w:tcPr>
            <w:tcW w:w="4383" w:type="dxa"/>
          </w:tcPr>
          <w:p w:rsidR="00B22522" w:rsidRPr="007B1B75" w:rsidRDefault="00B22522" w:rsidP="00B22522">
            <w:pPr>
              <w:pStyle w:val="VIS-Noidung"/>
              <w:spacing w:line="240" w:lineRule="auto"/>
              <w:rPr>
                <w:sz w:val="18"/>
                <w:szCs w:val="18"/>
              </w:rPr>
            </w:pPr>
            <w:r w:rsidRPr="007B1B75">
              <w:rPr>
                <w:sz w:val="18"/>
                <w:szCs w:val="18"/>
              </w:rPr>
              <w:lastRenderedPageBreak/>
              <w:t>Nơi nhận:</w:t>
            </w:r>
          </w:p>
          <w:p w:rsidR="00B22522" w:rsidRPr="007B1B75" w:rsidRDefault="00B22522" w:rsidP="00B22522">
            <w:pPr>
              <w:pStyle w:val="VIS-Noidung"/>
              <w:numPr>
                <w:ilvl w:val="0"/>
                <w:numId w:val="16"/>
              </w:numPr>
              <w:spacing w:line="240" w:lineRule="auto"/>
              <w:ind w:left="162" w:hanging="162"/>
              <w:rPr>
                <w:b w:val="0"/>
                <w:i w:val="0"/>
                <w:sz w:val="18"/>
                <w:szCs w:val="18"/>
              </w:rPr>
            </w:pPr>
            <w:r w:rsidRPr="007B1B75">
              <w:rPr>
                <w:b w:val="0"/>
                <w:i w:val="0"/>
                <w:sz w:val="18"/>
                <w:szCs w:val="18"/>
              </w:rPr>
              <w:t>Như trên;</w:t>
            </w:r>
          </w:p>
          <w:p w:rsidR="00B22522" w:rsidRDefault="00B22522" w:rsidP="00B22522">
            <w:pPr>
              <w:pStyle w:val="VIS-Noidung"/>
              <w:numPr>
                <w:ilvl w:val="0"/>
                <w:numId w:val="16"/>
              </w:numPr>
              <w:spacing w:line="240" w:lineRule="auto"/>
              <w:ind w:left="162" w:hanging="162"/>
            </w:pPr>
            <w:r w:rsidRPr="007B1B75">
              <w:rPr>
                <w:b w:val="0"/>
                <w:i w:val="0"/>
                <w:sz w:val="18"/>
                <w:szCs w:val="18"/>
              </w:rPr>
              <w:t>Lưu: VT</w:t>
            </w:r>
          </w:p>
          <w:p w:rsidR="00B22522" w:rsidRDefault="00B22522" w:rsidP="00B22522">
            <w:pPr>
              <w:pStyle w:val="VIS-Noidung"/>
              <w:spacing w:line="240" w:lineRule="auto"/>
            </w:pPr>
          </w:p>
        </w:tc>
        <w:tc>
          <w:tcPr>
            <w:tcW w:w="4405" w:type="dxa"/>
          </w:tcPr>
          <w:p w:rsidR="00B22522" w:rsidRPr="007B1B75" w:rsidRDefault="00B22522" w:rsidP="00B22522">
            <w:pPr>
              <w:pStyle w:val="VIS-Noidung"/>
              <w:spacing w:line="240" w:lineRule="auto"/>
              <w:jc w:val="center"/>
              <w:rPr>
                <w:i w:val="0"/>
              </w:rPr>
            </w:pPr>
            <w:r w:rsidRPr="007B1B75">
              <w:rPr>
                <w:i w:val="0"/>
              </w:rPr>
              <w:t>TM. HỘI ĐỒNG QUẢN TRỊ</w:t>
            </w:r>
          </w:p>
          <w:p w:rsidR="00B22522" w:rsidRPr="007B1B75" w:rsidRDefault="00B22522" w:rsidP="00B22522">
            <w:pPr>
              <w:jc w:val="center"/>
              <w:rPr>
                <w:b/>
              </w:rPr>
            </w:pPr>
            <w:r w:rsidRPr="007B1B75">
              <w:rPr>
                <w:b/>
              </w:rPr>
              <w:t>CHỦ TỊCH</w:t>
            </w:r>
          </w:p>
          <w:p w:rsidR="00B22522" w:rsidRPr="007B1B75" w:rsidRDefault="00AF2B7A" w:rsidP="00B22522">
            <w:pPr>
              <w:jc w:val="center"/>
              <w:rPr>
                <w:b/>
              </w:rPr>
            </w:pPr>
            <w:r>
              <w:rPr>
                <w:b/>
              </w:rPr>
              <w:t>(Đã ký)</w:t>
            </w:r>
          </w:p>
          <w:p w:rsidR="00B22522" w:rsidRDefault="00B22522" w:rsidP="00B22522">
            <w:pPr>
              <w:jc w:val="center"/>
              <w:rPr>
                <w:b/>
              </w:rPr>
            </w:pPr>
          </w:p>
          <w:p w:rsidR="00B22522" w:rsidRPr="007B1B75" w:rsidRDefault="00B22522" w:rsidP="00B22522">
            <w:pPr>
              <w:jc w:val="center"/>
              <w:rPr>
                <w:b/>
              </w:rPr>
            </w:pPr>
          </w:p>
        </w:tc>
      </w:tr>
      <w:tr w:rsidR="00B22522" w:rsidRPr="00B14CB2" w:rsidTr="00B22522">
        <w:trPr>
          <w:jc w:val="center"/>
        </w:trPr>
        <w:tc>
          <w:tcPr>
            <w:tcW w:w="4383" w:type="dxa"/>
          </w:tcPr>
          <w:p w:rsidR="00B22522" w:rsidRDefault="00B22522" w:rsidP="00B22522">
            <w:pPr>
              <w:pStyle w:val="VIS-Noidung"/>
              <w:spacing w:line="240" w:lineRule="auto"/>
            </w:pPr>
          </w:p>
        </w:tc>
        <w:tc>
          <w:tcPr>
            <w:tcW w:w="4405" w:type="dxa"/>
          </w:tcPr>
          <w:p w:rsidR="00B22522" w:rsidRPr="007B1B75" w:rsidRDefault="00B22522" w:rsidP="00B22522">
            <w:pPr>
              <w:pStyle w:val="VIS-Noidung"/>
              <w:spacing w:line="240" w:lineRule="auto"/>
              <w:jc w:val="center"/>
              <w:rPr>
                <w:i w:val="0"/>
              </w:rPr>
            </w:pPr>
            <w:r w:rsidRPr="007B1B75">
              <w:rPr>
                <w:i w:val="0"/>
              </w:rPr>
              <w:t>NGUYỄN THỊ THU TRANG</w:t>
            </w:r>
          </w:p>
        </w:tc>
      </w:tr>
    </w:tbl>
    <w:p w:rsidR="001B3D6F" w:rsidRPr="006951D4" w:rsidRDefault="001B3D6F" w:rsidP="006951D4"/>
    <w:sectPr w:rsidR="001B3D6F" w:rsidRPr="006951D4" w:rsidSect="00BC2B02">
      <w:footerReference w:type="default" r:id="rId10"/>
      <w:pgSz w:w="11907" w:h="16840" w:code="9"/>
      <w:pgMar w:top="1418" w:right="1418" w:bottom="1418"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D2" w:rsidRDefault="004601D2" w:rsidP="006951D4">
      <w:pPr>
        <w:spacing w:before="0" w:after="0"/>
      </w:pPr>
      <w:r>
        <w:separator/>
      </w:r>
    </w:p>
  </w:endnote>
  <w:endnote w:type="continuationSeparator" w:id="0">
    <w:p w:rsidR="004601D2" w:rsidRDefault="004601D2" w:rsidP="006951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46792090"/>
      <w:docPartObj>
        <w:docPartGallery w:val="Page Numbers (Bottom of Page)"/>
        <w:docPartUnique/>
      </w:docPartObj>
    </w:sdtPr>
    <w:sdtEndPr>
      <w:rPr>
        <w:b/>
        <w:i/>
        <w:noProof/>
      </w:rPr>
    </w:sdtEndPr>
    <w:sdtContent>
      <w:p w:rsidR="00B22522" w:rsidRPr="007C7E16" w:rsidRDefault="00B22522" w:rsidP="007C7E16">
        <w:pPr>
          <w:pStyle w:val="Footer"/>
          <w:pBdr>
            <w:top w:val="single" w:sz="12" w:space="1" w:color="auto"/>
          </w:pBdr>
          <w:tabs>
            <w:tab w:val="clear" w:pos="4680"/>
          </w:tabs>
          <w:rPr>
            <w:noProof/>
            <w:sz w:val="20"/>
            <w:szCs w:val="20"/>
          </w:rPr>
        </w:pPr>
        <w:r w:rsidRPr="007C7E16">
          <w:rPr>
            <w:i/>
            <w:sz w:val="20"/>
            <w:szCs w:val="20"/>
          </w:rPr>
          <w:t xml:space="preserve">Báo cáo </w:t>
        </w:r>
        <w:r w:rsidR="00E45F3D">
          <w:rPr>
            <w:i/>
            <w:sz w:val="20"/>
            <w:szCs w:val="20"/>
          </w:rPr>
          <w:t>của HĐQT năm</w:t>
        </w:r>
        <w:r w:rsidRPr="007C7E16">
          <w:rPr>
            <w:i/>
            <w:sz w:val="20"/>
            <w:szCs w:val="20"/>
          </w:rPr>
          <w:t xml:space="preserve"> 201</w:t>
        </w:r>
        <w:r w:rsidR="006A6415">
          <w:rPr>
            <w:i/>
            <w:sz w:val="20"/>
            <w:szCs w:val="20"/>
          </w:rPr>
          <w:t>6</w:t>
        </w:r>
        <w:r w:rsidRPr="007C7E16">
          <w:rPr>
            <w:sz w:val="20"/>
            <w:szCs w:val="20"/>
          </w:rPr>
          <w:tab/>
          <w:t xml:space="preserve">Trang </w:t>
        </w:r>
        <w:r w:rsidR="001D7859" w:rsidRPr="007C7E16">
          <w:rPr>
            <w:sz w:val="20"/>
            <w:szCs w:val="20"/>
          </w:rPr>
          <w:fldChar w:fldCharType="begin"/>
        </w:r>
        <w:r w:rsidRPr="007C7E16">
          <w:rPr>
            <w:sz w:val="20"/>
            <w:szCs w:val="20"/>
          </w:rPr>
          <w:instrText xml:space="preserve"> PAGE   \* MERGEFORMAT </w:instrText>
        </w:r>
        <w:r w:rsidR="001D7859" w:rsidRPr="007C7E16">
          <w:rPr>
            <w:sz w:val="20"/>
            <w:szCs w:val="20"/>
          </w:rPr>
          <w:fldChar w:fldCharType="separate"/>
        </w:r>
        <w:r w:rsidR="004C1348">
          <w:rPr>
            <w:noProof/>
            <w:sz w:val="20"/>
            <w:szCs w:val="20"/>
          </w:rPr>
          <w:t>3</w:t>
        </w:r>
        <w:r w:rsidR="001D7859" w:rsidRPr="007C7E16">
          <w:rPr>
            <w:noProof/>
            <w:sz w:val="20"/>
            <w:szCs w:val="20"/>
          </w:rPr>
          <w:fldChar w:fldCharType="end"/>
        </w:r>
      </w:p>
      <w:p w:rsidR="00B22522" w:rsidRPr="007C7E16" w:rsidRDefault="00B22522" w:rsidP="007C7E16">
        <w:pPr>
          <w:pStyle w:val="Footer"/>
          <w:tabs>
            <w:tab w:val="clear" w:pos="4680"/>
          </w:tabs>
          <w:rPr>
            <w:b/>
            <w:i/>
            <w:sz w:val="20"/>
            <w:szCs w:val="20"/>
          </w:rPr>
        </w:pPr>
        <w:r w:rsidRPr="007C7E16">
          <w:rPr>
            <w:b/>
            <w:i/>
            <w:noProof/>
            <w:sz w:val="20"/>
            <w:szCs w:val="20"/>
          </w:rPr>
          <w:t>Công ty CP Chứng khoán Quốc tế Việt Nam</w:t>
        </w:r>
      </w:p>
    </w:sdtContent>
  </w:sdt>
  <w:p w:rsidR="00B22522" w:rsidRDefault="00B2252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D2" w:rsidRDefault="004601D2" w:rsidP="006951D4">
      <w:pPr>
        <w:spacing w:before="0" w:after="0"/>
      </w:pPr>
      <w:r>
        <w:separator/>
      </w:r>
    </w:p>
  </w:footnote>
  <w:footnote w:type="continuationSeparator" w:id="0">
    <w:p w:rsidR="004601D2" w:rsidRDefault="004601D2" w:rsidP="006951D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3B4D2"/>
    <w:multiLevelType w:val="hybridMultilevel"/>
    <w:tmpl w:val="7E5606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2A79"/>
    <w:multiLevelType w:val="multilevel"/>
    <w:tmpl w:val="809EC474"/>
    <w:lvl w:ilvl="0">
      <w:start w:val="2"/>
      <w:numFmt w:val="decimal"/>
      <w:lvlText w:val="%1"/>
      <w:lvlJc w:val="left"/>
      <w:pPr>
        <w:ind w:left="806" w:hanging="579"/>
      </w:pPr>
      <w:rPr>
        <w:rFonts w:hint="default"/>
      </w:rPr>
    </w:lvl>
    <w:lvl w:ilvl="1">
      <w:start w:val="3"/>
      <w:numFmt w:val="decimal"/>
      <w:lvlText w:val="%1.%2"/>
      <w:lvlJc w:val="left"/>
      <w:pPr>
        <w:ind w:left="806" w:hanging="579"/>
      </w:pPr>
      <w:rPr>
        <w:rFonts w:hint="default"/>
      </w:rPr>
    </w:lvl>
    <w:lvl w:ilvl="2">
      <w:start w:val="1"/>
      <w:numFmt w:val="decimal"/>
      <w:lvlText w:val="%1.%2.%3."/>
      <w:lvlJc w:val="left"/>
      <w:pPr>
        <w:ind w:left="240" w:hanging="579"/>
      </w:pPr>
      <w:rPr>
        <w:rFonts w:ascii="Times New Roman" w:eastAsia="Times New Roman" w:hAnsi="Times New Roman" w:hint="default"/>
        <w:b/>
        <w:bCs/>
        <w:sz w:val="22"/>
        <w:szCs w:val="22"/>
      </w:rPr>
    </w:lvl>
    <w:lvl w:ilvl="3">
      <w:start w:val="1"/>
      <w:numFmt w:val="bullet"/>
      <w:lvlText w:val="•"/>
      <w:lvlJc w:val="left"/>
      <w:pPr>
        <w:ind w:left="2833" w:hanging="579"/>
      </w:pPr>
      <w:rPr>
        <w:rFonts w:hint="default"/>
      </w:rPr>
    </w:lvl>
    <w:lvl w:ilvl="4">
      <w:start w:val="1"/>
      <w:numFmt w:val="bullet"/>
      <w:lvlText w:val="•"/>
      <w:lvlJc w:val="left"/>
      <w:pPr>
        <w:ind w:left="3846" w:hanging="579"/>
      </w:pPr>
      <w:rPr>
        <w:rFonts w:hint="default"/>
      </w:rPr>
    </w:lvl>
    <w:lvl w:ilvl="5">
      <w:start w:val="1"/>
      <w:numFmt w:val="bullet"/>
      <w:lvlText w:val="•"/>
      <w:lvlJc w:val="left"/>
      <w:pPr>
        <w:ind w:left="4860" w:hanging="579"/>
      </w:pPr>
      <w:rPr>
        <w:rFonts w:hint="default"/>
      </w:rPr>
    </w:lvl>
    <w:lvl w:ilvl="6">
      <w:start w:val="1"/>
      <w:numFmt w:val="bullet"/>
      <w:lvlText w:val="•"/>
      <w:lvlJc w:val="left"/>
      <w:pPr>
        <w:ind w:left="5873" w:hanging="579"/>
      </w:pPr>
      <w:rPr>
        <w:rFonts w:hint="default"/>
      </w:rPr>
    </w:lvl>
    <w:lvl w:ilvl="7">
      <w:start w:val="1"/>
      <w:numFmt w:val="bullet"/>
      <w:lvlText w:val="•"/>
      <w:lvlJc w:val="left"/>
      <w:pPr>
        <w:ind w:left="6886" w:hanging="579"/>
      </w:pPr>
      <w:rPr>
        <w:rFonts w:hint="default"/>
      </w:rPr>
    </w:lvl>
    <w:lvl w:ilvl="8">
      <w:start w:val="1"/>
      <w:numFmt w:val="bullet"/>
      <w:lvlText w:val="•"/>
      <w:lvlJc w:val="left"/>
      <w:pPr>
        <w:ind w:left="7899" w:hanging="579"/>
      </w:pPr>
      <w:rPr>
        <w:rFonts w:hint="default"/>
      </w:rPr>
    </w:lvl>
  </w:abstractNum>
  <w:abstractNum w:abstractNumId="2">
    <w:nsid w:val="0A8B1A0A"/>
    <w:multiLevelType w:val="hybridMultilevel"/>
    <w:tmpl w:val="72081A50"/>
    <w:lvl w:ilvl="0" w:tplc="C6C288E0">
      <w:start w:val="1"/>
      <w:numFmt w:val="bullet"/>
      <w:lvlText w:val=""/>
      <w:lvlJc w:val="left"/>
      <w:pPr>
        <w:ind w:left="961" w:hanging="361"/>
      </w:pPr>
      <w:rPr>
        <w:rFonts w:ascii="Wingdings" w:eastAsia="Wingdings" w:hAnsi="Wingdings" w:hint="default"/>
        <w:w w:val="45"/>
        <w:sz w:val="22"/>
        <w:szCs w:val="22"/>
      </w:rPr>
    </w:lvl>
    <w:lvl w:ilvl="1" w:tplc="A1224216">
      <w:start w:val="1"/>
      <w:numFmt w:val="bullet"/>
      <w:lvlText w:val="•"/>
      <w:lvlJc w:val="left"/>
      <w:pPr>
        <w:ind w:left="1858" w:hanging="361"/>
      </w:pPr>
      <w:rPr>
        <w:rFonts w:hint="default"/>
      </w:rPr>
    </w:lvl>
    <w:lvl w:ilvl="2" w:tplc="9BDE3F72">
      <w:start w:val="1"/>
      <w:numFmt w:val="bullet"/>
      <w:lvlText w:val="•"/>
      <w:lvlJc w:val="left"/>
      <w:pPr>
        <w:ind w:left="2754" w:hanging="361"/>
      </w:pPr>
      <w:rPr>
        <w:rFonts w:hint="default"/>
      </w:rPr>
    </w:lvl>
    <w:lvl w:ilvl="3" w:tplc="48C63284">
      <w:start w:val="1"/>
      <w:numFmt w:val="bullet"/>
      <w:lvlText w:val="•"/>
      <w:lvlJc w:val="left"/>
      <w:pPr>
        <w:ind w:left="3650" w:hanging="361"/>
      </w:pPr>
      <w:rPr>
        <w:rFonts w:hint="default"/>
      </w:rPr>
    </w:lvl>
    <w:lvl w:ilvl="4" w:tplc="4558D4C0">
      <w:start w:val="1"/>
      <w:numFmt w:val="bullet"/>
      <w:lvlText w:val="•"/>
      <w:lvlJc w:val="left"/>
      <w:pPr>
        <w:ind w:left="4547" w:hanging="361"/>
      </w:pPr>
      <w:rPr>
        <w:rFonts w:hint="default"/>
      </w:rPr>
    </w:lvl>
    <w:lvl w:ilvl="5" w:tplc="5FAA8CD0">
      <w:start w:val="1"/>
      <w:numFmt w:val="bullet"/>
      <w:lvlText w:val="•"/>
      <w:lvlJc w:val="left"/>
      <w:pPr>
        <w:ind w:left="5443" w:hanging="361"/>
      </w:pPr>
      <w:rPr>
        <w:rFonts w:hint="default"/>
      </w:rPr>
    </w:lvl>
    <w:lvl w:ilvl="6" w:tplc="9C3AF31A">
      <w:start w:val="1"/>
      <w:numFmt w:val="bullet"/>
      <w:lvlText w:val="•"/>
      <w:lvlJc w:val="left"/>
      <w:pPr>
        <w:ind w:left="6340" w:hanging="361"/>
      </w:pPr>
      <w:rPr>
        <w:rFonts w:hint="default"/>
      </w:rPr>
    </w:lvl>
    <w:lvl w:ilvl="7" w:tplc="AFD627C4">
      <w:start w:val="1"/>
      <w:numFmt w:val="bullet"/>
      <w:lvlText w:val="•"/>
      <w:lvlJc w:val="left"/>
      <w:pPr>
        <w:ind w:left="7236" w:hanging="361"/>
      </w:pPr>
      <w:rPr>
        <w:rFonts w:hint="default"/>
      </w:rPr>
    </w:lvl>
    <w:lvl w:ilvl="8" w:tplc="DC0075B6">
      <w:start w:val="1"/>
      <w:numFmt w:val="bullet"/>
      <w:lvlText w:val="•"/>
      <w:lvlJc w:val="left"/>
      <w:pPr>
        <w:ind w:left="8133" w:hanging="361"/>
      </w:pPr>
      <w:rPr>
        <w:rFonts w:hint="default"/>
      </w:rPr>
    </w:lvl>
  </w:abstractNum>
  <w:abstractNum w:abstractNumId="3">
    <w:nsid w:val="12AD2D29"/>
    <w:multiLevelType w:val="hybridMultilevel"/>
    <w:tmpl w:val="F8241562"/>
    <w:lvl w:ilvl="0" w:tplc="B4B29F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147E9"/>
    <w:multiLevelType w:val="hybridMultilevel"/>
    <w:tmpl w:val="083EAE26"/>
    <w:lvl w:ilvl="0" w:tplc="5342A34C">
      <w:start w:val="1"/>
      <w:numFmt w:val="bullet"/>
      <w:lvlText w:val="-"/>
      <w:lvlJc w:val="left"/>
      <w:pPr>
        <w:ind w:left="951" w:hanging="361"/>
      </w:pPr>
      <w:rPr>
        <w:rFonts w:ascii="Arial Narrow" w:eastAsia="Arial Narrow" w:hAnsi="Arial Narrow" w:hint="default"/>
        <w:sz w:val="22"/>
        <w:szCs w:val="22"/>
      </w:rPr>
    </w:lvl>
    <w:lvl w:ilvl="1" w:tplc="06E6FCB2">
      <w:start w:val="1"/>
      <w:numFmt w:val="bullet"/>
      <w:lvlText w:val="•"/>
      <w:lvlJc w:val="left"/>
      <w:pPr>
        <w:ind w:left="1849" w:hanging="361"/>
      </w:pPr>
      <w:rPr>
        <w:rFonts w:hint="default"/>
      </w:rPr>
    </w:lvl>
    <w:lvl w:ilvl="2" w:tplc="CDF83816">
      <w:start w:val="1"/>
      <w:numFmt w:val="bullet"/>
      <w:lvlText w:val="•"/>
      <w:lvlJc w:val="left"/>
      <w:pPr>
        <w:ind w:left="2746" w:hanging="361"/>
      </w:pPr>
      <w:rPr>
        <w:rFonts w:hint="default"/>
      </w:rPr>
    </w:lvl>
    <w:lvl w:ilvl="3" w:tplc="3064B442">
      <w:start w:val="1"/>
      <w:numFmt w:val="bullet"/>
      <w:lvlText w:val="•"/>
      <w:lvlJc w:val="left"/>
      <w:pPr>
        <w:ind w:left="3644" w:hanging="361"/>
      </w:pPr>
      <w:rPr>
        <w:rFonts w:hint="default"/>
      </w:rPr>
    </w:lvl>
    <w:lvl w:ilvl="4" w:tplc="CA361D56">
      <w:start w:val="1"/>
      <w:numFmt w:val="bullet"/>
      <w:lvlText w:val="•"/>
      <w:lvlJc w:val="left"/>
      <w:pPr>
        <w:ind w:left="4541" w:hanging="361"/>
      </w:pPr>
      <w:rPr>
        <w:rFonts w:hint="default"/>
      </w:rPr>
    </w:lvl>
    <w:lvl w:ilvl="5" w:tplc="B180F164">
      <w:start w:val="1"/>
      <w:numFmt w:val="bullet"/>
      <w:lvlText w:val="•"/>
      <w:lvlJc w:val="left"/>
      <w:pPr>
        <w:ind w:left="5439" w:hanging="361"/>
      </w:pPr>
      <w:rPr>
        <w:rFonts w:hint="default"/>
      </w:rPr>
    </w:lvl>
    <w:lvl w:ilvl="6" w:tplc="28AEE3FC">
      <w:start w:val="1"/>
      <w:numFmt w:val="bullet"/>
      <w:lvlText w:val="•"/>
      <w:lvlJc w:val="left"/>
      <w:pPr>
        <w:ind w:left="6336" w:hanging="361"/>
      </w:pPr>
      <w:rPr>
        <w:rFonts w:hint="default"/>
      </w:rPr>
    </w:lvl>
    <w:lvl w:ilvl="7" w:tplc="BA34F8F8">
      <w:start w:val="1"/>
      <w:numFmt w:val="bullet"/>
      <w:lvlText w:val="•"/>
      <w:lvlJc w:val="left"/>
      <w:pPr>
        <w:ind w:left="7233" w:hanging="361"/>
      </w:pPr>
      <w:rPr>
        <w:rFonts w:hint="default"/>
      </w:rPr>
    </w:lvl>
    <w:lvl w:ilvl="8" w:tplc="D422A8F8">
      <w:start w:val="1"/>
      <w:numFmt w:val="bullet"/>
      <w:lvlText w:val="•"/>
      <w:lvlJc w:val="left"/>
      <w:pPr>
        <w:ind w:left="8131" w:hanging="361"/>
      </w:pPr>
      <w:rPr>
        <w:rFonts w:hint="default"/>
      </w:rPr>
    </w:lvl>
  </w:abstractNum>
  <w:abstractNum w:abstractNumId="5">
    <w:nsid w:val="21BA1071"/>
    <w:multiLevelType w:val="hybridMultilevel"/>
    <w:tmpl w:val="F1B4265E"/>
    <w:lvl w:ilvl="0" w:tplc="5E08B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01183"/>
    <w:multiLevelType w:val="hybridMultilevel"/>
    <w:tmpl w:val="E75C3466"/>
    <w:lvl w:ilvl="0" w:tplc="814E00A6">
      <w:start w:val="3"/>
      <w:numFmt w:val="decimal"/>
      <w:lvlText w:val="%1."/>
      <w:lvlJc w:val="left"/>
      <w:pPr>
        <w:ind w:left="780" w:hanging="541"/>
      </w:pPr>
      <w:rPr>
        <w:rFonts w:ascii="Times New Roman" w:eastAsia="Times New Roman" w:hAnsi="Times New Roman" w:hint="default"/>
        <w:b/>
        <w:bCs/>
        <w:sz w:val="22"/>
        <w:szCs w:val="22"/>
      </w:rPr>
    </w:lvl>
    <w:lvl w:ilvl="1" w:tplc="45F670C8">
      <w:start w:val="1"/>
      <w:numFmt w:val="lowerLetter"/>
      <w:lvlText w:val="%2."/>
      <w:lvlJc w:val="left"/>
      <w:pPr>
        <w:ind w:left="783" w:hanging="541"/>
      </w:pPr>
      <w:rPr>
        <w:rFonts w:ascii="Times New Roman" w:eastAsia="Times New Roman" w:hAnsi="Times New Roman" w:hint="default"/>
        <w:b/>
        <w:bCs/>
        <w:sz w:val="22"/>
        <w:szCs w:val="22"/>
      </w:rPr>
    </w:lvl>
    <w:lvl w:ilvl="2" w:tplc="0616E0F6">
      <w:start w:val="1"/>
      <w:numFmt w:val="bullet"/>
      <w:lvlText w:val="•"/>
      <w:lvlJc w:val="left"/>
      <w:pPr>
        <w:ind w:left="1799" w:hanging="541"/>
      </w:pPr>
      <w:rPr>
        <w:rFonts w:hint="default"/>
      </w:rPr>
    </w:lvl>
    <w:lvl w:ilvl="3" w:tplc="DB4459B2">
      <w:start w:val="1"/>
      <w:numFmt w:val="bullet"/>
      <w:lvlText w:val="•"/>
      <w:lvlJc w:val="left"/>
      <w:pPr>
        <w:ind w:left="2815" w:hanging="541"/>
      </w:pPr>
      <w:rPr>
        <w:rFonts w:hint="default"/>
      </w:rPr>
    </w:lvl>
    <w:lvl w:ilvl="4" w:tplc="8E98C01A">
      <w:start w:val="1"/>
      <w:numFmt w:val="bullet"/>
      <w:lvlText w:val="•"/>
      <w:lvlJc w:val="left"/>
      <w:pPr>
        <w:ind w:left="3830" w:hanging="541"/>
      </w:pPr>
      <w:rPr>
        <w:rFonts w:hint="default"/>
      </w:rPr>
    </w:lvl>
    <w:lvl w:ilvl="5" w:tplc="2018851E">
      <w:start w:val="1"/>
      <w:numFmt w:val="bullet"/>
      <w:lvlText w:val="•"/>
      <w:lvlJc w:val="left"/>
      <w:pPr>
        <w:ind w:left="4846" w:hanging="541"/>
      </w:pPr>
      <w:rPr>
        <w:rFonts w:hint="default"/>
      </w:rPr>
    </w:lvl>
    <w:lvl w:ilvl="6" w:tplc="510CD3E0">
      <w:start w:val="1"/>
      <w:numFmt w:val="bullet"/>
      <w:lvlText w:val="•"/>
      <w:lvlJc w:val="left"/>
      <w:pPr>
        <w:ind w:left="5862" w:hanging="541"/>
      </w:pPr>
      <w:rPr>
        <w:rFonts w:hint="default"/>
      </w:rPr>
    </w:lvl>
    <w:lvl w:ilvl="7" w:tplc="B6D0C426">
      <w:start w:val="1"/>
      <w:numFmt w:val="bullet"/>
      <w:lvlText w:val="•"/>
      <w:lvlJc w:val="left"/>
      <w:pPr>
        <w:ind w:left="6878" w:hanging="541"/>
      </w:pPr>
      <w:rPr>
        <w:rFonts w:hint="default"/>
      </w:rPr>
    </w:lvl>
    <w:lvl w:ilvl="8" w:tplc="820EDEB8">
      <w:start w:val="1"/>
      <w:numFmt w:val="bullet"/>
      <w:lvlText w:val="•"/>
      <w:lvlJc w:val="left"/>
      <w:pPr>
        <w:ind w:left="7894" w:hanging="541"/>
      </w:pPr>
      <w:rPr>
        <w:rFonts w:hint="default"/>
      </w:rPr>
    </w:lvl>
  </w:abstractNum>
  <w:abstractNum w:abstractNumId="7">
    <w:nsid w:val="438E67F0"/>
    <w:multiLevelType w:val="hybridMultilevel"/>
    <w:tmpl w:val="591E6AC2"/>
    <w:lvl w:ilvl="0" w:tplc="5E08B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56E2"/>
    <w:multiLevelType w:val="multilevel"/>
    <w:tmpl w:val="3E084192"/>
    <w:lvl w:ilvl="0">
      <w:start w:val="1"/>
      <w:numFmt w:val="decimal"/>
      <w:lvlText w:val="%1."/>
      <w:lvlJc w:val="left"/>
      <w:pPr>
        <w:ind w:left="948" w:hanging="709"/>
      </w:pPr>
      <w:rPr>
        <w:rFonts w:ascii="Times New Roman" w:eastAsia="Times New Roman" w:hAnsi="Times New Roman" w:hint="default"/>
        <w:b/>
        <w:bCs/>
        <w:sz w:val="22"/>
        <w:szCs w:val="22"/>
      </w:rPr>
    </w:lvl>
    <w:lvl w:ilvl="1">
      <w:start w:val="1"/>
      <w:numFmt w:val="decimal"/>
      <w:lvlText w:val="%1.%2."/>
      <w:lvlJc w:val="left"/>
      <w:pPr>
        <w:ind w:left="948" w:hanging="488"/>
      </w:pPr>
      <w:rPr>
        <w:rFonts w:ascii="Times New Roman" w:eastAsia="Times New Roman" w:hAnsi="Times New Roman" w:hint="default"/>
        <w:sz w:val="22"/>
        <w:szCs w:val="22"/>
      </w:rPr>
    </w:lvl>
    <w:lvl w:ilvl="2">
      <w:start w:val="1"/>
      <w:numFmt w:val="bullet"/>
      <w:lvlText w:val="•"/>
      <w:lvlJc w:val="left"/>
      <w:pPr>
        <w:ind w:left="948" w:hanging="488"/>
      </w:pPr>
      <w:rPr>
        <w:rFonts w:hint="default"/>
      </w:rPr>
    </w:lvl>
    <w:lvl w:ilvl="3">
      <w:start w:val="1"/>
      <w:numFmt w:val="bullet"/>
      <w:lvlText w:val="•"/>
      <w:lvlJc w:val="left"/>
      <w:pPr>
        <w:ind w:left="2071" w:hanging="488"/>
      </w:pPr>
      <w:rPr>
        <w:rFonts w:hint="default"/>
      </w:rPr>
    </w:lvl>
    <w:lvl w:ilvl="4">
      <w:start w:val="1"/>
      <w:numFmt w:val="bullet"/>
      <w:lvlText w:val="•"/>
      <w:lvlJc w:val="left"/>
      <w:pPr>
        <w:ind w:left="3193" w:hanging="488"/>
      </w:pPr>
      <w:rPr>
        <w:rFonts w:hint="default"/>
      </w:rPr>
    </w:lvl>
    <w:lvl w:ilvl="5">
      <w:start w:val="1"/>
      <w:numFmt w:val="bullet"/>
      <w:lvlText w:val="•"/>
      <w:lvlJc w:val="left"/>
      <w:pPr>
        <w:ind w:left="4315" w:hanging="488"/>
      </w:pPr>
      <w:rPr>
        <w:rFonts w:hint="default"/>
      </w:rPr>
    </w:lvl>
    <w:lvl w:ilvl="6">
      <w:start w:val="1"/>
      <w:numFmt w:val="bullet"/>
      <w:lvlText w:val="•"/>
      <w:lvlJc w:val="left"/>
      <w:pPr>
        <w:ind w:left="5437" w:hanging="488"/>
      </w:pPr>
      <w:rPr>
        <w:rFonts w:hint="default"/>
      </w:rPr>
    </w:lvl>
    <w:lvl w:ilvl="7">
      <w:start w:val="1"/>
      <w:numFmt w:val="bullet"/>
      <w:lvlText w:val="•"/>
      <w:lvlJc w:val="left"/>
      <w:pPr>
        <w:ind w:left="6559" w:hanging="488"/>
      </w:pPr>
      <w:rPr>
        <w:rFonts w:hint="default"/>
      </w:rPr>
    </w:lvl>
    <w:lvl w:ilvl="8">
      <w:start w:val="1"/>
      <w:numFmt w:val="bullet"/>
      <w:lvlText w:val="•"/>
      <w:lvlJc w:val="left"/>
      <w:pPr>
        <w:ind w:left="7682" w:hanging="488"/>
      </w:pPr>
      <w:rPr>
        <w:rFonts w:hint="default"/>
      </w:rPr>
    </w:lvl>
  </w:abstractNum>
  <w:abstractNum w:abstractNumId="9">
    <w:nsid w:val="4F1634D8"/>
    <w:multiLevelType w:val="hybridMultilevel"/>
    <w:tmpl w:val="ECD2C530"/>
    <w:lvl w:ilvl="0" w:tplc="427E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B5B"/>
    <w:multiLevelType w:val="hybridMultilevel"/>
    <w:tmpl w:val="D85E1F48"/>
    <w:lvl w:ilvl="0" w:tplc="A122421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D1BFF"/>
    <w:multiLevelType w:val="multilevel"/>
    <w:tmpl w:val="D1949E20"/>
    <w:lvl w:ilvl="0">
      <w:start w:val="1"/>
      <w:numFmt w:val="decimal"/>
      <w:lvlText w:val="%1."/>
      <w:lvlJc w:val="left"/>
      <w:pPr>
        <w:ind w:left="780" w:hanging="541"/>
      </w:pPr>
      <w:rPr>
        <w:rFonts w:ascii="Times New Roman" w:eastAsia="Times New Roman" w:hAnsi="Times New Roman" w:hint="default"/>
        <w:b/>
        <w:bCs/>
        <w:sz w:val="22"/>
        <w:szCs w:val="22"/>
      </w:rPr>
    </w:lvl>
    <w:lvl w:ilvl="1">
      <w:start w:val="1"/>
      <w:numFmt w:val="decimal"/>
      <w:lvlText w:val="%1.%2."/>
      <w:lvlJc w:val="left"/>
      <w:pPr>
        <w:ind w:left="807" w:hanging="567"/>
      </w:pPr>
      <w:rPr>
        <w:rFonts w:ascii="Times New Roman" w:eastAsia="Times New Roman" w:hAnsi="Times New Roman" w:hint="default"/>
        <w:b/>
        <w:bCs/>
        <w:sz w:val="22"/>
        <w:szCs w:val="22"/>
      </w:rPr>
    </w:lvl>
    <w:lvl w:ilvl="2">
      <w:start w:val="1"/>
      <w:numFmt w:val="bullet"/>
      <w:lvlText w:val=""/>
      <w:lvlJc w:val="left"/>
      <w:pPr>
        <w:ind w:left="962" w:hanging="361"/>
      </w:pPr>
      <w:rPr>
        <w:rFonts w:ascii="Wingdings" w:eastAsia="Wingdings" w:hAnsi="Wingdings" w:hint="default"/>
        <w:w w:val="45"/>
        <w:sz w:val="22"/>
        <w:szCs w:val="22"/>
      </w:rPr>
    </w:lvl>
    <w:lvl w:ilvl="3">
      <w:start w:val="1"/>
      <w:numFmt w:val="bullet"/>
      <w:lvlText w:val="•"/>
      <w:lvlJc w:val="left"/>
      <w:pPr>
        <w:ind w:left="962" w:hanging="361"/>
      </w:pPr>
      <w:rPr>
        <w:rFonts w:hint="default"/>
      </w:rPr>
    </w:lvl>
    <w:lvl w:ilvl="4">
      <w:start w:val="1"/>
      <w:numFmt w:val="bullet"/>
      <w:lvlText w:val="•"/>
      <w:lvlJc w:val="left"/>
      <w:pPr>
        <w:ind w:left="2243" w:hanging="361"/>
      </w:pPr>
      <w:rPr>
        <w:rFonts w:hint="default"/>
      </w:rPr>
    </w:lvl>
    <w:lvl w:ilvl="5">
      <w:start w:val="1"/>
      <w:numFmt w:val="bullet"/>
      <w:lvlText w:val="•"/>
      <w:lvlJc w:val="left"/>
      <w:pPr>
        <w:ind w:left="3523" w:hanging="361"/>
      </w:pPr>
      <w:rPr>
        <w:rFonts w:hint="default"/>
      </w:rPr>
    </w:lvl>
    <w:lvl w:ilvl="6">
      <w:start w:val="1"/>
      <w:numFmt w:val="bullet"/>
      <w:lvlText w:val="•"/>
      <w:lvlJc w:val="left"/>
      <w:pPr>
        <w:ind w:left="4804" w:hanging="361"/>
      </w:pPr>
      <w:rPr>
        <w:rFonts w:hint="default"/>
      </w:rPr>
    </w:lvl>
    <w:lvl w:ilvl="7">
      <w:start w:val="1"/>
      <w:numFmt w:val="bullet"/>
      <w:lvlText w:val="•"/>
      <w:lvlJc w:val="left"/>
      <w:pPr>
        <w:ind w:left="6084" w:hanging="361"/>
      </w:pPr>
      <w:rPr>
        <w:rFonts w:hint="default"/>
      </w:rPr>
    </w:lvl>
    <w:lvl w:ilvl="8">
      <w:start w:val="1"/>
      <w:numFmt w:val="bullet"/>
      <w:lvlText w:val="•"/>
      <w:lvlJc w:val="left"/>
      <w:pPr>
        <w:ind w:left="7365" w:hanging="361"/>
      </w:pPr>
      <w:rPr>
        <w:rFonts w:hint="default"/>
      </w:rPr>
    </w:lvl>
  </w:abstractNum>
  <w:abstractNum w:abstractNumId="12">
    <w:nsid w:val="5D4E4BEC"/>
    <w:multiLevelType w:val="hybridMultilevel"/>
    <w:tmpl w:val="10D2CC26"/>
    <w:lvl w:ilvl="0" w:tplc="073E4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D382B"/>
    <w:multiLevelType w:val="hybridMultilevel"/>
    <w:tmpl w:val="E3F4C2EC"/>
    <w:lvl w:ilvl="0" w:tplc="3B74398A">
      <w:numFmt w:val="bullet"/>
      <w:lvlText w:val="-"/>
      <w:lvlJc w:val="left"/>
      <w:pPr>
        <w:tabs>
          <w:tab w:val="num" w:pos="360"/>
        </w:tabs>
        <w:ind w:left="360" w:hanging="360"/>
      </w:pPr>
      <w:rPr>
        <w:rFonts w:ascii="Times New Roman" w:eastAsia="Times New Roman" w:hAnsi="Times New Roman" w:cs="Times New Roman" w:hint="default"/>
      </w:rPr>
    </w:lvl>
    <w:lvl w:ilvl="1" w:tplc="5706E426">
      <w:start w:val="1"/>
      <w:numFmt w:val="decimal"/>
      <w:lvlText w:val="5.%2"/>
      <w:lvlJc w:val="left"/>
      <w:pPr>
        <w:tabs>
          <w:tab w:val="num" w:pos="1080"/>
        </w:tabs>
        <w:ind w:left="1080" w:hanging="360"/>
      </w:pPr>
      <w:rPr>
        <w:rFonts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695541E4"/>
    <w:multiLevelType w:val="hybridMultilevel"/>
    <w:tmpl w:val="F81A80F2"/>
    <w:lvl w:ilvl="0" w:tplc="67F0CE5A">
      <w:start w:val="2"/>
      <w:numFmt w:val="lowerLetter"/>
      <w:lvlText w:val="%1."/>
      <w:lvlJc w:val="left"/>
      <w:pPr>
        <w:ind w:left="783" w:hanging="540"/>
      </w:pPr>
      <w:rPr>
        <w:rFonts w:ascii="Times New Roman" w:eastAsia="Times New Roman" w:hAnsi="Times New Roman" w:hint="default"/>
        <w:b/>
        <w:bCs/>
        <w:spacing w:val="-1"/>
        <w:sz w:val="22"/>
        <w:szCs w:val="22"/>
      </w:rPr>
    </w:lvl>
    <w:lvl w:ilvl="1" w:tplc="E072EEE8">
      <w:start w:val="1"/>
      <w:numFmt w:val="decimal"/>
      <w:lvlText w:val="%2."/>
      <w:lvlJc w:val="left"/>
      <w:pPr>
        <w:ind w:left="780" w:hanging="541"/>
      </w:pPr>
      <w:rPr>
        <w:rFonts w:ascii="Times New Roman" w:eastAsia="Times New Roman" w:hAnsi="Times New Roman" w:hint="default"/>
        <w:b/>
        <w:bCs/>
        <w:sz w:val="22"/>
        <w:szCs w:val="22"/>
      </w:rPr>
    </w:lvl>
    <w:lvl w:ilvl="2" w:tplc="DC30D05A">
      <w:start w:val="1"/>
      <w:numFmt w:val="lowerLetter"/>
      <w:lvlText w:val="%3."/>
      <w:lvlJc w:val="left"/>
      <w:pPr>
        <w:ind w:left="780" w:hanging="541"/>
      </w:pPr>
      <w:rPr>
        <w:rFonts w:ascii="Times New Roman" w:eastAsia="Times New Roman" w:hAnsi="Times New Roman" w:hint="default"/>
        <w:b/>
        <w:bCs/>
        <w:sz w:val="22"/>
        <w:szCs w:val="22"/>
      </w:rPr>
    </w:lvl>
    <w:lvl w:ilvl="3" w:tplc="CC92A72E">
      <w:start w:val="1"/>
      <w:numFmt w:val="bullet"/>
      <w:lvlText w:val="•"/>
      <w:lvlJc w:val="left"/>
      <w:pPr>
        <w:ind w:left="1926" w:hanging="541"/>
      </w:pPr>
      <w:rPr>
        <w:rFonts w:hint="default"/>
      </w:rPr>
    </w:lvl>
    <w:lvl w:ilvl="4" w:tplc="184A1256">
      <w:start w:val="1"/>
      <w:numFmt w:val="bullet"/>
      <w:lvlText w:val="•"/>
      <w:lvlJc w:val="left"/>
      <w:pPr>
        <w:ind w:left="3069" w:hanging="541"/>
      </w:pPr>
      <w:rPr>
        <w:rFonts w:hint="default"/>
      </w:rPr>
    </w:lvl>
    <w:lvl w:ilvl="5" w:tplc="DB56F53A">
      <w:start w:val="1"/>
      <w:numFmt w:val="bullet"/>
      <w:lvlText w:val="•"/>
      <w:lvlJc w:val="left"/>
      <w:pPr>
        <w:ind w:left="4212" w:hanging="541"/>
      </w:pPr>
      <w:rPr>
        <w:rFonts w:hint="default"/>
      </w:rPr>
    </w:lvl>
    <w:lvl w:ilvl="6" w:tplc="424CEF14">
      <w:start w:val="1"/>
      <w:numFmt w:val="bullet"/>
      <w:lvlText w:val="•"/>
      <w:lvlJc w:val="left"/>
      <w:pPr>
        <w:ind w:left="5354" w:hanging="541"/>
      </w:pPr>
      <w:rPr>
        <w:rFonts w:hint="default"/>
      </w:rPr>
    </w:lvl>
    <w:lvl w:ilvl="7" w:tplc="7994A97A">
      <w:start w:val="1"/>
      <w:numFmt w:val="bullet"/>
      <w:lvlText w:val="•"/>
      <w:lvlJc w:val="left"/>
      <w:pPr>
        <w:ind w:left="6497" w:hanging="541"/>
      </w:pPr>
      <w:rPr>
        <w:rFonts w:hint="default"/>
      </w:rPr>
    </w:lvl>
    <w:lvl w:ilvl="8" w:tplc="588ECE88">
      <w:start w:val="1"/>
      <w:numFmt w:val="bullet"/>
      <w:lvlText w:val="•"/>
      <w:lvlJc w:val="left"/>
      <w:pPr>
        <w:ind w:left="7640" w:hanging="541"/>
      </w:pPr>
      <w:rPr>
        <w:rFonts w:hint="default"/>
      </w:rPr>
    </w:lvl>
  </w:abstractNum>
  <w:abstractNum w:abstractNumId="15">
    <w:nsid w:val="6A2E2B32"/>
    <w:multiLevelType w:val="hybridMultilevel"/>
    <w:tmpl w:val="DDBAB716"/>
    <w:lvl w:ilvl="0" w:tplc="722A1C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C4121"/>
    <w:multiLevelType w:val="hybridMultilevel"/>
    <w:tmpl w:val="BD18CA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C2046D7"/>
    <w:multiLevelType w:val="hybridMultilevel"/>
    <w:tmpl w:val="D5AEF4F4"/>
    <w:lvl w:ilvl="0" w:tplc="F7B6C996">
      <w:start w:val="1"/>
      <w:numFmt w:val="lowerLetter"/>
      <w:lvlText w:val="%1."/>
      <w:lvlJc w:val="left"/>
      <w:pPr>
        <w:ind w:left="806" w:hanging="567"/>
      </w:pPr>
      <w:rPr>
        <w:rFonts w:ascii="Times New Roman" w:eastAsia="Times New Roman" w:hAnsi="Times New Roman" w:hint="default"/>
        <w:b/>
        <w:bCs/>
        <w:i/>
        <w:sz w:val="22"/>
        <w:szCs w:val="22"/>
      </w:rPr>
    </w:lvl>
    <w:lvl w:ilvl="1" w:tplc="FF50440E">
      <w:start w:val="1"/>
      <w:numFmt w:val="bullet"/>
      <w:lvlText w:val="•"/>
      <w:lvlJc w:val="left"/>
      <w:pPr>
        <w:ind w:left="1718" w:hanging="567"/>
      </w:pPr>
      <w:rPr>
        <w:rFonts w:hint="default"/>
      </w:rPr>
    </w:lvl>
    <w:lvl w:ilvl="2" w:tplc="5B542116">
      <w:start w:val="1"/>
      <w:numFmt w:val="bullet"/>
      <w:lvlText w:val="•"/>
      <w:lvlJc w:val="left"/>
      <w:pPr>
        <w:ind w:left="2630" w:hanging="567"/>
      </w:pPr>
      <w:rPr>
        <w:rFonts w:hint="default"/>
      </w:rPr>
    </w:lvl>
    <w:lvl w:ilvl="3" w:tplc="9B8CD04E">
      <w:start w:val="1"/>
      <w:numFmt w:val="bullet"/>
      <w:lvlText w:val="•"/>
      <w:lvlJc w:val="left"/>
      <w:pPr>
        <w:ind w:left="3542" w:hanging="567"/>
      </w:pPr>
      <w:rPr>
        <w:rFonts w:hint="default"/>
      </w:rPr>
    </w:lvl>
    <w:lvl w:ilvl="4" w:tplc="E8022E56">
      <w:start w:val="1"/>
      <w:numFmt w:val="bullet"/>
      <w:lvlText w:val="•"/>
      <w:lvlJc w:val="left"/>
      <w:pPr>
        <w:ind w:left="4454" w:hanging="567"/>
      </w:pPr>
      <w:rPr>
        <w:rFonts w:hint="default"/>
      </w:rPr>
    </w:lvl>
    <w:lvl w:ilvl="5" w:tplc="223A8408">
      <w:start w:val="1"/>
      <w:numFmt w:val="bullet"/>
      <w:lvlText w:val="•"/>
      <w:lvlJc w:val="left"/>
      <w:pPr>
        <w:ind w:left="5366" w:hanging="567"/>
      </w:pPr>
      <w:rPr>
        <w:rFonts w:hint="default"/>
      </w:rPr>
    </w:lvl>
    <w:lvl w:ilvl="6" w:tplc="AB9887E0">
      <w:start w:val="1"/>
      <w:numFmt w:val="bullet"/>
      <w:lvlText w:val="•"/>
      <w:lvlJc w:val="left"/>
      <w:pPr>
        <w:ind w:left="6278" w:hanging="567"/>
      </w:pPr>
      <w:rPr>
        <w:rFonts w:hint="default"/>
      </w:rPr>
    </w:lvl>
    <w:lvl w:ilvl="7" w:tplc="2B3263B8">
      <w:start w:val="1"/>
      <w:numFmt w:val="bullet"/>
      <w:lvlText w:val="•"/>
      <w:lvlJc w:val="left"/>
      <w:pPr>
        <w:ind w:left="7190" w:hanging="567"/>
      </w:pPr>
      <w:rPr>
        <w:rFonts w:hint="default"/>
      </w:rPr>
    </w:lvl>
    <w:lvl w:ilvl="8" w:tplc="26BC552C">
      <w:start w:val="1"/>
      <w:numFmt w:val="bullet"/>
      <w:lvlText w:val="•"/>
      <w:lvlJc w:val="left"/>
      <w:pPr>
        <w:ind w:left="8102" w:hanging="567"/>
      </w:pPr>
      <w:rPr>
        <w:rFonts w:hint="default"/>
      </w:rPr>
    </w:lvl>
  </w:abstractNum>
  <w:abstractNum w:abstractNumId="18">
    <w:nsid w:val="722F38F4"/>
    <w:multiLevelType w:val="hybridMultilevel"/>
    <w:tmpl w:val="65E4727E"/>
    <w:lvl w:ilvl="0" w:tplc="5E08B8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219FC"/>
    <w:multiLevelType w:val="hybridMultilevel"/>
    <w:tmpl w:val="FEA45CA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6"/>
  </w:num>
  <w:num w:numId="3">
    <w:abstractNumId w:val="14"/>
  </w:num>
  <w:num w:numId="4">
    <w:abstractNumId w:val="17"/>
  </w:num>
  <w:num w:numId="5">
    <w:abstractNumId w:val="1"/>
  </w:num>
  <w:num w:numId="6">
    <w:abstractNumId w:val="4"/>
  </w:num>
  <w:num w:numId="7">
    <w:abstractNumId w:val="11"/>
  </w:num>
  <w:num w:numId="8">
    <w:abstractNumId w:val="8"/>
  </w:num>
  <w:num w:numId="9">
    <w:abstractNumId w:val="7"/>
  </w:num>
  <w:num w:numId="10">
    <w:abstractNumId w:val="5"/>
  </w:num>
  <w:num w:numId="11">
    <w:abstractNumId w:val="3"/>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12"/>
  </w:num>
  <w:num w:numId="17">
    <w:abstractNumId w:val="13"/>
    <w:lvlOverride w:ilvl="0"/>
    <w:lvlOverride w:ilvl="1">
      <w:startOverride w:val="1"/>
    </w:lvlOverride>
    <w:lvlOverride w:ilvl="2"/>
    <w:lvlOverride w:ilvl="3"/>
    <w:lvlOverride w:ilvl="4"/>
    <w:lvlOverride w:ilvl="5"/>
    <w:lvlOverride w:ilvl="6"/>
    <w:lvlOverride w:ilvl="7"/>
    <w:lvlOverride w:ilvl="8"/>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7723"/>
    <w:rsid w:val="00003F28"/>
    <w:rsid w:val="0001416A"/>
    <w:rsid w:val="00020B3A"/>
    <w:rsid w:val="0002261C"/>
    <w:rsid w:val="00023985"/>
    <w:rsid w:val="00047275"/>
    <w:rsid w:val="00055E78"/>
    <w:rsid w:val="000736C7"/>
    <w:rsid w:val="00076629"/>
    <w:rsid w:val="00081162"/>
    <w:rsid w:val="00085169"/>
    <w:rsid w:val="00087119"/>
    <w:rsid w:val="000924E1"/>
    <w:rsid w:val="00092544"/>
    <w:rsid w:val="000A00F9"/>
    <w:rsid w:val="000B7FA7"/>
    <w:rsid w:val="000C46AE"/>
    <w:rsid w:val="000D2D97"/>
    <w:rsid w:val="000D7875"/>
    <w:rsid w:val="000E74E8"/>
    <w:rsid w:val="00102FE0"/>
    <w:rsid w:val="001117A2"/>
    <w:rsid w:val="00123D62"/>
    <w:rsid w:val="0013199F"/>
    <w:rsid w:val="00133A60"/>
    <w:rsid w:val="00147C9C"/>
    <w:rsid w:val="001510CE"/>
    <w:rsid w:val="00163A14"/>
    <w:rsid w:val="001820E2"/>
    <w:rsid w:val="00187071"/>
    <w:rsid w:val="00197BEE"/>
    <w:rsid w:val="001B1EE9"/>
    <w:rsid w:val="001B29B6"/>
    <w:rsid w:val="001B383B"/>
    <w:rsid w:val="001B3D6F"/>
    <w:rsid w:val="001C5F45"/>
    <w:rsid w:val="001C7256"/>
    <w:rsid w:val="001D2584"/>
    <w:rsid w:val="001D7859"/>
    <w:rsid w:val="001F170E"/>
    <w:rsid w:val="001F58AF"/>
    <w:rsid w:val="002016A5"/>
    <w:rsid w:val="002029D9"/>
    <w:rsid w:val="00227EEB"/>
    <w:rsid w:val="0023072F"/>
    <w:rsid w:val="002330D9"/>
    <w:rsid w:val="00233C25"/>
    <w:rsid w:val="00247460"/>
    <w:rsid w:val="00250E89"/>
    <w:rsid w:val="00267205"/>
    <w:rsid w:val="00274B1E"/>
    <w:rsid w:val="002847F5"/>
    <w:rsid w:val="00295041"/>
    <w:rsid w:val="002A0702"/>
    <w:rsid w:val="002A1301"/>
    <w:rsid w:val="002A3CE8"/>
    <w:rsid w:val="002B1A1F"/>
    <w:rsid w:val="002B5BE5"/>
    <w:rsid w:val="002C0AB1"/>
    <w:rsid w:val="002C725D"/>
    <w:rsid w:val="002C7F31"/>
    <w:rsid w:val="002D6D79"/>
    <w:rsid w:val="002E7457"/>
    <w:rsid w:val="002F41CA"/>
    <w:rsid w:val="003036B4"/>
    <w:rsid w:val="003050D0"/>
    <w:rsid w:val="00306BE4"/>
    <w:rsid w:val="0031272C"/>
    <w:rsid w:val="00315E61"/>
    <w:rsid w:val="0032338F"/>
    <w:rsid w:val="0032578F"/>
    <w:rsid w:val="0033191E"/>
    <w:rsid w:val="00334D87"/>
    <w:rsid w:val="00340CFA"/>
    <w:rsid w:val="00345175"/>
    <w:rsid w:val="00346683"/>
    <w:rsid w:val="003620A9"/>
    <w:rsid w:val="0036356F"/>
    <w:rsid w:val="0039056D"/>
    <w:rsid w:val="00392CF5"/>
    <w:rsid w:val="00395773"/>
    <w:rsid w:val="003A16F4"/>
    <w:rsid w:val="003B7133"/>
    <w:rsid w:val="003C3961"/>
    <w:rsid w:val="003D0B56"/>
    <w:rsid w:val="003D0DF1"/>
    <w:rsid w:val="003D1C2C"/>
    <w:rsid w:val="003D3902"/>
    <w:rsid w:val="003D4771"/>
    <w:rsid w:val="003E20B0"/>
    <w:rsid w:val="003E40D7"/>
    <w:rsid w:val="003E45C2"/>
    <w:rsid w:val="00403D1D"/>
    <w:rsid w:val="00406851"/>
    <w:rsid w:val="00410768"/>
    <w:rsid w:val="00422B9A"/>
    <w:rsid w:val="00424BF4"/>
    <w:rsid w:val="004260E9"/>
    <w:rsid w:val="0044263A"/>
    <w:rsid w:val="00442C8A"/>
    <w:rsid w:val="00455621"/>
    <w:rsid w:val="00457793"/>
    <w:rsid w:val="004601D2"/>
    <w:rsid w:val="00470984"/>
    <w:rsid w:val="00473866"/>
    <w:rsid w:val="00474BA4"/>
    <w:rsid w:val="004771DE"/>
    <w:rsid w:val="004945CA"/>
    <w:rsid w:val="00497E5F"/>
    <w:rsid w:val="004A109F"/>
    <w:rsid w:val="004C00DC"/>
    <w:rsid w:val="004C0AD2"/>
    <w:rsid w:val="004C1348"/>
    <w:rsid w:val="004C7716"/>
    <w:rsid w:val="004E18C6"/>
    <w:rsid w:val="004F2287"/>
    <w:rsid w:val="004F4114"/>
    <w:rsid w:val="004F4C6A"/>
    <w:rsid w:val="005105AB"/>
    <w:rsid w:val="005111B0"/>
    <w:rsid w:val="00515C01"/>
    <w:rsid w:val="005356AA"/>
    <w:rsid w:val="00546BEF"/>
    <w:rsid w:val="00565560"/>
    <w:rsid w:val="00567864"/>
    <w:rsid w:val="00576CD4"/>
    <w:rsid w:val="00582EF3"/>
    <w:rsid w:val="00583898"/>
    <w:rsid w:val="00586B48"/>
    <w:rsid w:val="005A37FD"/>
    <w:rsid w:val="005A50F5"/>
    <w:rsid w:val="005B4F4B"/>
    <w:rsid w:val="005D07EF"/>
    <w:rsid w:val="005D4A1E"/>
    <w:rsid w:val="005D681D"/>
    <w:rsid w:val="005F1C31"/>
    <w:rsid w:val="00622333"/>
    <w:rsid w:val="006307B8"/>
    <w:rsid w:val="00630BEB"/>
    <w:rsid w:val="0064097E"/>
    <w:rsid w:val="00653251"/>
    <w:rsid w:val="00662E52"/>
    <w:rsid w:val="00677AEC"/>
    <w:rsid w:val="00680472"/>
    <w:rsid w:val="00683F2F"/>
    <w:rsid w:val="006859E5"/>
    <w:rsid w:val="006927B3"/>
    <w:rsid w:val="006951D4"/>
    <w:rsid w:val="006A0EF4"/>
    <w:rsid w:val="006A6415"/>
    <w:rsid w:val="006B7748"/>
    <w:rsid w:val="006C0DF6"/>
    <w:rsid w:val="006C16C7"/>
    <w:rsid w:val="006C6915"/>
    <w:rsid w:val="006D3FEF"/>
    <w:rsid w:val="006E028B"/>
    <w:rsid w:val="006E1F55"/>
    <w:rsid w:val="006E31F7"/>
    <w:rsid w:val="006F3963"/>
    <w:rsid w:val="006F3C28"/>
    <w:rsid w:val="006F7443"/>
    <w:rsid w:val="00700159"/>
    <w:rsid w:val="00700355"/>
    <w:rsid w:val="00700B19"/>
    <w:rsid w:val="00703382"/>
    <w:rsid w:val="00713A6A"/>
    <w:rsid w:val="00717926"/>
    <w:rsid w:val="007222AF"/>
    <w:rsid w:val="00731C08"/>
    <w:rsid w:val="007434CB"/>
    <w:rsid w:val="00750EFE"/>
    <w:rsid w:val="00757A1D"/>
    <w:rsid w:val="0076264B"/>
    <w:rsid w:val="00763A10"/>
    <w:rsid w:val="00765C86"/>
    <w:rsid w:val="00770BB7"/>
    <w:rsid w:val="00777EDB"/>
    <w:rsid w:val="00784A61"/>
    <w:rsid w:val="00787554"/>
    <w:rsid w:val="007900D6"/>
    <w:rsid w:val="007912ED"/>
    <w:rsid w:val="007A40C5"/>
    <w:rsid w:val="007B0D81"/>
    <w:rsid w:val="007B23EF"/>
    <w:rsid w:val="007B4C94"/>
    <w:rsid w:val="007C2E46"/>
    <w:rsid w:val="007C32F3"/>
    <w:rsid w:val="007C7E16"/>
    <w:rsid w:val="007D73D2"/>
    <w:rsid w:val="007F3C27"/>
    <w:rsid w:val="007F734D"/>
    <w:rsid w:val="00802056"/>
    <w:rsid w:val="008035E5"/>
    <w:rsid w:val="008048A4"/>
    <w:rsid w:val="0081132E"/>
    <w:rsid w:val="008117E2"/>
    <w:rsid w:val="00811DBA"/>
    <w:rsid w:val="00812BB2"/>
    <w:rsid w:val="008427FC"/>
    <w:rsid w:val="00842816"/>
    <w:rsid w:val="008434B5"/>
    <w:rsid w:val="008434BB"/>
    <w:rsid w:val="0085279D"/>
    <w:rsid w:val="00852A31"/>
    <w:rsid w:val="0085782C"/>
    <w:rsid w:val="00866CF7"/>
    <w:rsid w:val="00871FB5"/>
    <w:rsid w:val="00881C5F"/>
    <w:rsid w:val="008A14E7"/>
    <w:rsid w:val="008A780E"/>
    <w:rsid w:val="008B6A3C"/>
    <w:rsid w:val="008C5733"/>
    <w:rsid w:val="008E3E48"/>
    <w:rsid w:val="008F1255"/>
    <w:rsid w:val="008F32D2"/>
    <w:rsid w:val="008F7366"/>
    <w:rsid w:val="009126F2"/>
    <w:rsid w:val="009142FC"/>
    <w:rsid w:val="009230C1"/>
    <w:rsid w:val="0093108D"/>
    <w:rsid w:val="009312F1"/>
    <w:rsid w:val="00940AA2"/>
    <w:rsid w:val="00942F4F"/>
    <w:rsid w:val="009451FB"/>
    <w:rsid w:val="00957E10"/>
    <w:rsid w:val="00960BB9"/>
    <w:rsid w:val="0096320E"/>
    <w:rsid w:val="00964855"/>
    <w:rsid w:val="009710FB"/>
    <w:rsid w:val="00973DD7"/>
    <w:rsid w:val="009804DB"/>
    <w:rsid w:val="0098170E"/>
    <w:rsid w:val="009835E6"/>
    <w:rsid w:val="00987653"/>
    <w:rsid w:val="009970DF"/>
    <w:rsid w:val="009A7109"/>
    <w:rsid w:val="009B3053"/>
    <w:rsid w:val="009B3254"/>
    <w:rsid w:val="009C0281"/>
    <w:rsid w:val="009C1E02"/>
    <w:rsid w:val="009C3803"/>
    <w:rsid w:val="009C3FFA"/>
    <w:rsid w:val="009D0BCC"/>
    <w:rsid w:val="009D2618"/>
    <w:rsid w:val="009E1562"/>
    <w:rsid w:val="009E3E41"/>
    <w:rsid w:val="009E7723"/>
    <w:rsid w:val="00A023AE"/>
    <w:rsid w:val="00A049CB"/>
    <w:rsid w:val="00A04C26"/>
    <w:rsid w:val="00A066A4"/>
    <w:rsid w:val="00A06FB9"/>
    <w:rsid w:val="00A27200"/>
    <w:rsid w:val="00A272E8"/>
    <w:rsid w:val="00A2768A"/>
    <w:rsid w:val="00A31E39"/>
    <w:rsid w:val="00A33FFF"/>
    <w:rsid w:val="00A51D26"/>
    <w:rsid w:val="00A55FBD"/>
    <w:rsid w:val="00A71AB4"/>
    <w:rsid w:val="00A85C03"/>
    <w:rsid w:val="00A8727F"/>
    <w:rsid w:val="00AA01D3"/>
    <w:rsid w:val="00AA43FD"/>
    <w:rsid w:val="00AA60AE"/>
    <w:rsid w:val="00AA62D5"/>
    <w:rsid w:val="00AB2DD0"/>
    <w:rsid w:val="00AD493D"/>
    <w:rsid w:val="00AE521F"/>
    <w:rsid w:val="00AE5404"/>
    <w:rsid w:val="00AE569B"/>
    <w:rsid w:val="00AF2B7A"/>
    <w:rsid w:val="00AF663C"/>
    <w:rsid w:val="00B03EAA"/>
    <w:rsid w:val="00B14E2A"/>
    <w:rsid w:val="00B15FBF"/>
    <w:rsid w:val="00B16468"/>
    <w:rsid w:val="00B16606"/>
    <w:rsid w:val="00B217E7"/>
    <w:rsid w:val="00B21F28"/>
    <w:rsid w:val="00B22522"/>
    <w:rsid w:val="00B2485F"/>
    <w:rsid w:val="00B31F81"/>
    <w:rsid w:val="00B324A7"/>
    <w:rsid w:val="00B43D95"/>
    <w:rsid w:val="00B46CF8"/>
    <w:rsid w:val="00B47D65"/>
    <w:rsid w:val="00B551E1"/>
    <w:rsid w:val="00B60363"/>
    <w:rsid w:val="00B72ACF"/>
    <w:rsid w:val="00B73D3B"/>
    <w:rsid w:val="00B801F4"/>
    <w:rsid w:val="00B8244C"/>
    <w:rsid w:val="00B83B22"/>
    <w:rsid w:val="00B8426E"/>
    <w:rsid w:val="00B949EF"/>
    <w:rsid w:val="00BA2A4E"/>
    <w:rsid w:val="00BB4903"/>
    <w:rsid w:val="00BB721D"/>
    <w:rsid w:val="00BB7A37"/>
    <w:rsid w:val="00BC16A5"/>
    <w:rsid w:val="00BC2A83"/>
    <w:rsid w:val="00BC2B02"/>
    <w:rsid w:val="00BC47DD"/>
    <w:rsid w:val="00BF137E"/>
    <w:rsid w:val="00BF65AA"/>
    <w:rsid w:val="00BF6F26"/>
    <w:rsid w:val="00C03C42"/>
    <w:rsid w:val="00C107FA"/>
    <w:rsid w:val="00C1135F"/>
    <w:rsid w:val="00C34C76"/>
    <w:rsid w:val="00C35151"/>
    <w:rsid w:val="00C36871"/>
    <w:rsid w:val="00C53F03"/>
    <w:rsid w:val="00C823FB"/>
    <w:rsid w:val="00C84D43"/>
    <w:rsid w:val="00C855D5"/>
    <w:rsid w:val="00C86A42"/>
    <w:rsid w:val="00CB38A1"/>
    <w:rsid w:val="00CB7677"/>
    <w:rsid w:val="00CC73FF"/>
    <w:rsid w:val="00CE04AA"/>
    <w:rsid w:val="00CF5AC4"/>
    <w:rsid w:val="00D00261"/>
    <w:rsid w:val="00D02B97"/>
    <w:rsid w:val="00D115A7"/>
    <w:rsid w:val="00D15F83"/>
    <w:rsid w:val="00D402AA"/>
    <w:rsid w:val="00D6139F"/>
    <w:rsid w:val="00D63019"/>
    <w:rsid w:val="00D63ECF"/>
    <w:rsid w:val="00D767C4"/>
    <w:rsid w:val="00D90689"/>
    <w:rsid w:val="00D92551"/>
    <w:rsid w:val="00D92BC5"/>
    <w:rsid w:val="00DA5645"/>
    <w:rsid w:val="00DB3236"/>
    <w:rsid w:val="00DB3C8D"/>
    <w:rsid w:val="00DD2A03"/>
    <w:rsid w:val="00DD6658"/>
    <w:rsid w:val="00DD7605"/>
    <w:rsid w:val="00DE6749"/>
    <w:rsid w:val="00DF15D0"/>
    <w:rsid w:val="00DF4511"/>
    <w:rsid w:val="00DF6B42"/>
    <w:rsid w:val="00E062F9"/>
    <w:rsid w:val="00E133D3"/>
    <w:rsid w:val="00E21C29"/>
    <w:rsid w:val="00E303F0"/>
    <w:rsid w:val="00E30EB4"/>
    <w:rsid w:val="00E33547"/>
    <w:rsid w:val="00E3757A"/>
    <w:rsid w:val="00E40984"/>
    <w:rsid w:val="00E4369B"/>
    <w:rsid w:val="00E45F3D"/>
    <w:rsid w:val="00E66045"/>
    <w:rsid w:val="00E857B2"/>
    <w:rsid w:val="00E867C8"/>
    <w:rsid w:val="00E87509"/>
    <w:rsid w:val="00E90127"/>
    <w:rsid w:val="00EA702C"/>
    <w:rsid w:val="00EC23E6"/>
    <w:rsid w:val="00ED45AE"/>
    <w:rsid w:val="00EE76AF"/>
    <w:rsid w:val="00F04091"/>
    <w:rsid w:val="00F138CC"/>
    <w:rsid w:val="00F143DF"/>
    <w:rsid w:val="00F31D07"/>
    <w:rsid w:val="00F4057A"/>
    <w:rsid w:val="00F47D96"/>
    <w:rsid w:val="00F74B4C"/>
    <w:rsid w:val="00F758A6"/>
    <w:rsid w:val="00F85992"/>
    <w:rsid w:val="00F93F29"/>
    <w:rsid w:val="00F951A5"/>
    <w:rsid w:val="00F958EB"/>
    <w:rsid w:val="00FA41D7"/>
    <w:rsid w:val="00FA5D6A"/>
    <w:rsid w:val="00FB5028"/>
    <w:rsid w:val="00FC1262"/>
    <w:rsid w:val="00FC1713"/>
    <w:rsid w:val="00FC24B2"/>
    <w:rsid w:val="00FC29E4"/>
    <w:rsid w:val="00FC5569"/>
    <w:rsid w:val="00FC5CF2"/>
    <w:rsid w:val="00FC7C3B"/>
    <w:rsid w:val="00FF0D37"/>
    <w:rsid w:val="00FF0E17"/>
    <w:rsid w:val="00FF1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D4"/>
    <w:pPr>
      <w:spacing w:before="120" w:after="120" w:line="240" w:lineRule="auto"/>
      <w:jc w:val="both"/>
    </w:pPr>
    <w:rPr>
      <w:rFonts w:ascii="Arial" w:hAnsi="Arial" w:cs="Times New Roman"/>
      <w:sz w:val="24"/>
      <w:szCs w:val="24"/>
    </w:rPr>
  </w:style>
  <w:style w:type="paragraph" w:styleId="Heading1">
    <w:name w:val="heading 1"/>
    <w:basedOn w:val="Normal"/>
    <w:next w:val="Normal"/>
    <w:link w:val="Heading1Char"/>
    <w:autoRedefine/>
    <w:uiPriority w:val="1"/>
    <w:qFormat/>
    <w:rsid w:val="0002261C"/>
    <w:pPr>
      <w:keepNext/>
      <w:keepLines/>
      <w:tabs>
        <w:tab w:val="left" w:pos="6379"/>
        <w:tab w:val="left" w:pos="7088"/>
      </w:tabs>
      <w:spacing w:after="0"/>
      <w:outlineLvl w:val="0"/>
    </w:pPr>
    <w:rPr>
      <w:rFonts w:eastAsiaTheme="majorEastAsia" w:cstheme="majorBidi"/>
      <w:b/>
      <w:szCs w:val="32"/>
    </w:rPr>
  </w:style>
  <w:style w:type="paragraph" w:styleId="Heading2">
    <w:name w:val="heading 2"/>
    <w:basedOn w:val="Normal"/>
    <w:next w:val="Normal"/>
    <w:link w:val="Heading2Char"/>
    <w:uiPriority w:val="1"/>
    <w:qFormat/>
    <w:rsid w:val="006951D4"/>
    <w:pPr>
      <w:keepNext/>
      <w:spacing w:before="240" w:after="240"/>
      <w:ind w:left="720" w:hanging="720"/>
      <w:outlineLvl w:val="1"/>
    </w:pPr>
    <w:rPr>
      <w:rFonts w:eastAsiaTheme="minorHAnsi" w:cs="Arial"/>
      <w:b/>
      <w:bCs/>
      <w:iCs/>
      <w:szCs w:val="28"/>
    </w:rPr>
  </w:style>
  <w:style w:type="paragraph" w:styleId="Heading3">
    <w:name w:val="heading 3"/>
    <w:basedOn w:val="Normal"/>
    <w:next w:val="Normal"/>
    <w:link w:val="Heading3Char"/>
    <w:autoRedefine/>
    <w:uiPriority w:val="1"/>
    <w:qFormat/>
    <w:rsid w:val="00F04091"/>
    <w:pPr>
      <w:keepNext/>
      <w:ind w:left="720" w:hanging="720"/>
      <w:outlineLvl w:val="2"/>
    </w:pPr>
    <w:rPr>
      <w:rFonts w:cs="Arial"/>
      <w:b/>
      <w:bCs/>
      <w:szCs w:val="26"/>
    </w:rPr>
  </w:style>
  <w:style w:type="paragraph" w:styleId="Heading4">
    <w:name w:val="heading 4"/>
    <w:basedOn w:val="Normal"/>
    <w:next w:val="Normal"/>
    <w:link w:val="Heading4Char"/>
    <w:uiPriority w:val="9"/>
    <w:unhideWhenUsed/>
    <w:qFormat/>
    <w:rsid w:val="009710FB"/>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261C"/>
    <w:rPr>
      <w:rFonts w:ascii="Arial" w:eastAsiaTheme="majorEastAsia" w:hAnsi="Arial" w:cstheme="majorBidi"/>
      <w:b/>
      <w:sz w:val="24"/>
      <w:szCs w:val="32"/>
    </w:rPr>
  </w:style>
  <w:style w:type="character" w:customStyle="1" w:styleId="Heading2Char">
    <w:name w:val="Heading 2 Char"/>
    <w:link w:val="Heading2"/>
    <w:rsid w:val="006951D4"/>
    <w:rPr>
      <w:rFonts w:ascii="Arial" w:eastAsiaTheme="minorHAnsi" w:hAnsi="Arial" w:cs="Arial"/>
      <w:b/>
      <w:bCs/>
      <w:iCs/>
      <w:sz w:val="24"/>
      <w:szCs w:val="28"/>
    </w:rPr>
  </w:style>
  <w:style w:type="character" w:customStyle="1" w:styleId="Heading3Char">
    <w:name w:val="Heading 3 Char"/>
    <w:basedOn w:val="DefaultParagraphFont"/>
    <w:link w:val="Heading3"/>
    <w:uiPriority w:val="1"/>
    <w:rsid w:val="00F04091"/>
    <w:rPr>
      <w:rFonts w:ascii="Arial" w:hAnsi="Arial" w:cs="Arial"/>
      <w:b/>
      <w:bCs/>
      <w:sz w:val="24"/>
      <w:szCs w:val="26"/>
    </w:rPr>
  </w:style>
  <w:style w:type="paragraph" w:styleId="TOC2">
    <w:name w:val="toc 2"/>
    <w:basedOn w:val="Normal"/>
    <w:next w:val="Normal"/>
    <w:autoRedefine/>
    <w:uiPriority w:val="1"/>
    <w:qFormat/>
    <w:rsid w:val="004A109F"/>
    <w:pPr>
      <w:tabs>
        <w:tab w:val="left" w:pos="720"/>
        <w:tab w:val="right" w:leader="dot" w:pos="9072"/>
      </w:tabs>
      <w:spacing w:line="360" w:lineRule="auto"/>
      <w:ind w:right="113" w:firstLine="720"/>
    </w:pPr>
    <w:rPr>
      <w:rFonts w:ascii="Times New Roman Bold" w:hAnsi="Times New Roman Bold"/>
      <w:b/>
      <w:bCs/>
      <w:szCs w:val="22"/>
    </w:rPr>
  </w:style>
  <w:style w:type="paragraph" w:styleId="TOC3">
    <w:name w:val="toc 3"/>
    <w:basedOn w:val="Normal"/>
    <w:next w:val="Normal"/>
    <w:autoRedefine/>
    <w:uiPriority w:val="39"/>
    <w:qFormat/>
    <w:rsid w:val="004A109F"/>
    <w:pPr>
      <w:tabs>
        <w:tab w:val="left" w:pos="1440"/>
        <w:tab w:val="right" w:leader="dot" w:pos="9072"/>
      </w:tabs>
      <w:spacing w:line="288" w:lineRule="auto"/>
      <w:ind w:left="1440" w:hanging="720"/>
    </w:pPr>
    <w:rPr>
      <w:iCs/>
      <w:noProof/>
      <w:sz w:val="22"/>
    </w:rPr>
  </w:style>
  <w:style w:type="paragraph" w:styleId="BodyText">
    <w:name w:val="Body Text"/>
    <w:basedOn w:val="Normal"/>
    <w:link w:val="BodyTextChar"/>
    <w:uiPriority w:val="1"/>
    <w:qFormat/>
    <w:rsid w:val="006951D4"/>
    <w:pPr>
      <w:widowControl w:val="0"/>
      <w:spacing w:before="187"/>
      <w:ind w:left="241"/>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6951D4"/>
    <w:rPr>
      <w:rFonts w:ascii="Times New Roman" w:hAnsi="Times New Roman"/>
    </w:rPr>
  </w:style>
  <w:style w:type="paragraph" w:styleId="TOC1">
    <w:name w:val="toc 1"/>
    <w:basedOn w:val="Normal"/>
    <w:uiPriority w:val="1"/>
    <w:qFormat/>
    <w:rsid w:val="006951D4"/>
    <w:pPr>
      <w:widowControl w:val="0"/>
      <w:spacing w:before="277" w:after="0"/>
      <w:ind w:left="240"/>
      <w:jc w:val="left"/>
    </w:pPr>
    <w:rPr>
      <w:rFonts w:ascii="Times New Roman" w:hAnsi="Times New Roman" w:cstheme="minorBidi"/>
      <w:b/>
      <w:bCs/>
      <w:sz w:val="22"/>
      <w:szCs w:val="22"/>
    </w:rPr>
  </w:style>
  <w:style w:type="paragraph" w:styleId="ListParagraph">
    <w:name w:val="List Paragraph"/>
    <w:basedOn w:val="Normal"/>
    <w:uiPriority w:val="34"/>
    <w:qFormat/>
    <w:rsid w:val="00F85992"/>
    <w:pPr>
      <w:widowControl w:val="0"/>
    </w:pPr>
    <w:rPr>
      <w:rFonts w:eastAsiaTheme="minorHAnsi" w:cstheme="minorBidi"/>
      <w:szCs w:val="22"/>
    </w:rPr>
  </w:style>
  <w:style w:type="paragraph" w:customStyle="1" w:styleId="TableParagraph">
    <w:name w:val="Table Paragraph"/>
    <w:basedOn w:val="Normal"/>
    <w:uiPriority w:val="1"/>
    <w:qFormat/>
    <w:rsid w:val="006951D4"/>
    <w:pPr>
      <w:widowControl w:val="0"/>
      <w:spacing w:before="0" w:after="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951D4"/>
    <w:pPr>
      <w:tabs>
        <w:tab w:val="center" w:pos="4680"/>
        <w:tab w:val="right" w:pos="9360"/>
      </w:tabs>
      <w:spacing w:before="0" w:after="0"/>
    </w:pPr>
  </w:style>
  <w:style w:type="character" w:customStyle="1" w:styleId="HeaderChar">
    <w:name w:val="Header Char"/>
    <w:basedOn w:val="DefaultParagraphFont"/>
    <w:link w:val="Header"/>
    <w:uiPriority w:val="99"/>
    <w:rsid w:val="006951D4"/>
    <w:rPr>
      <w:rFonts w:ascii="Arial" w:hAnsi="Arial" w:cs="Times New Roman"/>
      <w:sz w:val="24"/>
      <w:szCs w:val="24"/>
    </w:rPr>
  </w:style>
  <w:style w:type="paragraph" w:styleId="Footer">
    <w:name w:val="footer"/>
    <w:basedOn w:val="Normal"/>
    <w:link w:val="FooterChar"/>
    <w:uiPriority w:val="99"/>
    <w:unhideWhenUsed/>
    <w:rsid w:val="006951D4"/>
    <w:pPr>
      <w:tabs>
        <w:tab w:val="center" w:pos="4680"/>
        <w:tab w:val="right" w:pos="9360"/>
      </w:tabs>
      <w:spacing w:before="0" w:after="0"/>
    </w:pPr>
  </w:style>
  <w:style w:type="character" w:customStyle="1" w:styleId="FooterChar">
    <w:name w:val="Footer Char"/>
    <w:basedOn w:val="DefaultParagraphFont"/>
    <w:link w:val="Footer"/>
    <w:uiPriority w:val="99"/>
    <w:rsid w:val="006951D4"/>
    <w:rPr>
      <w:rFonts w:ascii="Arial" w:hAnsi="Arial" w:cs="Times New Roman"/>
      <w:sz w:val="24"/>
      <w:szCs w:val="24"/>
    </w:rPr>
  </w:style>
  <w:style w:type="table" w:styleId="TableGrid">
    <w:name w:val="Table Grid"/>
    <w:basedOn w:val="TableNormal"/>
    <w:rsid w:val="00C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710FB"/>
    <w:rPr>
      <w:rFonts w:ascii="Arial" w:eastAsiaTheme="majorEastAsia" w:hAnsi="Arial" w:cstheme="majorBidi"/>
      <w:i/>
      <w:iCs/>
      <w:sz w:val="24"/>
      <w:szCs w:val="24"/>
    </w:rPr>
  </w:style>
  <w:style w:type="paragraph" w:customStyle="1" w:styleId="VIS-Socongvan">
    <w:name w:val="VIS-So cong van"/>
    <w:basedOn w:val="Normal"/>
    <w:rsid w:val="007C7E16"/>
    <w:pPr>
      <w:spacing w:line="360" w:lineRule="auto"/>
      <w:jc w:val="left"/>
    </w:pPr>
    <w:rPr>
      <w:rFonts w:cs="Arial"/>
      <w:b/>
      <w:i/>
      <w:iCs/>
      <w:sz w:val="22"/>
      <w:szCs w:val="22"/>
    </w:rPr>
  </w:style>
  <w:style w:type="paragraph" w:customStyle="1" w:styleId="VIS-Noidung">
    <w:name w:val="VIS-Noi dung"/>
    <w:basedOn w:val="Normal"/>
    <w:link w:val="VIS-NoidungCharChar"/>
    <w:autoRedefine/>
    <w:rsid w:val="00B22522"/>
    <w:pPr>
      <w:spacing w:line="360" w:lineRule="auto"/>
    </w:pPr>
    <w:rPr>
      <w:rFonts w:cs="Arial"/>
      <w:b/>
      <w:i/>
      <w:iCs/>
      <w:sz w:val="22"/>
      <w:szCs w:val="22"/>
    </w:rPr>
  </w:style>
  <w:style w:type="character" w:customStyle="1" w:styleId="VIS-NoidungCharChar">
    <w:name w:val="VIS-Noi dung Char Char"/>
    <w:basedOn w:val="DefaultParagraphFont"/>
    <w:link w:val="VIS-Noidung"/>
    <w:rsid w:val="00B22522"/>
    <w:rPr>
      <w:rFonts w:ascii="Arial" w:hAnsi="Arial" w:cs="Arial"/>
      <w:b/>
      <w:i/>
      <w:iCs/>
    </w:rPr>
  </w:style>
  <w:style w:type="paragraph" w:styleId="BalloonText">
    <w:name w:val="Balloon Text"/>
    <w:basedOn w:val="Normal"/>
    <w:link w:val="BalloonTextChar"/>
    <w:uiPriority w:val="99"/>
    <w:semiHidden/>
    <w:unhideWhenUsed/>
    <w:rsid w:val="00871F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B5"/>
    <w:rPr>
      <w:rFonts w:ascii="Tahoma" w:hAnsi="Tahoma" w:cs="Tahoma"/>
      <w:sz w:val="16"/>
      <w:szCs w:val="16"/>
    </w:rPr>
  </w:style>
  <w:style w:type="character" w:styleId="Strong">
    <w:name w:val="Strong"/>
    <w:basedOn w:val="DefaultParagraphFont"/>
    <w:uiPriority w:val="99"/>
    <w:qFormat/>
    <w:rsid w:val="00F47D96"/>
    <w:rPr>
      <w:rFonts w:ascii="Times New Roman" w:hAnsi="Times New Roman" w:cs="Times New Roman" w:hint="default"/>
      <w:b/>
      <w:bCs/>
    </w:rPr>
  </w:style>
  <w:style w:type="paragraph" w:styleId="NormalWeb">
    <w:name w:val="Normal (Web)"/>
    <w:basedOn w:val="Normal"/>
    <w:uiPriority w:val="99"/>
    <w:unhideWhenUsed/>
    <w:rsid w:val="007B23EF"/>
    <w:pPr>
      <w:spacing w:before="100" w:beforeAutospacing="1" w:after="100" w:afterAutospacing="1"/>
      <w:jc w:val="left"/>
    </w:pPr>
    <w:rPr>
      <w:rFonts w:ascii="Times New Roman" w:hAnsi="Times New Roman"/>
    </w:rPr>
  </w:style>
  <w:style w:type="paragraph" w:customStyle="1" w:styleId="Default">
    <w:name w:val="Default"/>
    <w:rsid w:val="00DB323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045">
      <w:bodyDiv w:val="1"/>
      <w:marLeft w:val="0"/>
      <w:marRight w:val="0"/>
      <w:marTop w:val="0"/>
      <w:marBottom w:val="0"/>
      <w:divBdr>
        <w:top w:val="none" w:sz="0" w:space="0" w:color="auto"/>
        <w:left w:val="none" w:sz="0" w:space="0" w:color="auto"/>
        <w:bottom w:val="none" w:sz="0" w:space="0" w:color="auto"/>
        <w:right w:val="none" w:sz="0" w:space="0" w:color="auto"/>
      </w:divBdr>
    </w:div>
    <w:div w:id="152570018">
      <w:bodyDiv w:val="1"/>
      <w:marLeft w:val="0"/>
      <w:marRight w:val="0"/>
      <w:marTop w:val="0"/>
      <w:marBottom w:val="0"/>
      <w:divBdr>
        <w:top w:val="none" w:sz="0" w:space="0" w:color="auto"/>
        <w:left w:val="none" w:sz="0" w:space="0" w:color="auto"/>
        <w:bottom w:val="none" w:sz="0" w:space="0" w:color="auto"/>
        <w:right w:val="none" w:sz="0" w:space="0" w:color="auto"/>
      </w:divBdr>
    </w:div>
    <w:div w:id="448089188">
      <w:bodyDiv w:val="1"/>
      <w:marLeft w:val="0"/>
      <w:marRight w:val="0"/>
      <w:marTop w:val="0"/>
      <w:marBottom w:val="0"/>
      <w:divBdr>
        <w:top w:val="none" w:sz="0" w:space="0" w:color="auto"/>
        <w:left w:val="none" w:sz="0" w:space="0" w:color="auto"/>
        <w:bottom w:val="none" w:sz="0" w:space="0" w:color="auto"/>
        <w:right w:val="none" w:sz="0" w:space="0" w:color="auto"/>
      </w:divBdr>
    </w:div>
    <w:div w:id="759258314">
      <w:bodyDiv w:val="1"/>
      <w:marLeft w:val="0"/>
      <w:marRight w:val="0"/>
      <w:marTop w:val="0"/>
      <w:marBottom w:val="0"/>
      <w:divBdr>
        <w:top w:val="none" w:sz="0" w:space="0" w:color="auto"/>
        <w:left w:val="none" w:sz="0" w:space="0" w:color="auto"/>
        <w:bottom w:val="none" w:sz="0" w:space="0" w:color="auto"/>
        <w:right w:val="none" w:sz="0" w:space="0" w:color="auto"/>
      </w:divBdr>
    </w:div>
    <w:div w:id="839541722">
      <w:bodyDiv w:val="1"/>
      <w:marLeft w:val="0"/>
      <w:marRight w:val="0"/>
      <w:marTop w:val="0"/>
      <w:marBottom w:val="0"/>
      <w:divBdr>
        <w:top w:val="none" w:sz="0" w:space="0" w:color="auto"/>
        <w:left w:val="none" w:sz="0" w:space="0" w:color="auto"/>
        <w:bottom w:val="none" w:sz="0" w:space="0" w:color="auto"/>
        <w:right w:val="none" w:sz="0" w:space="0" w:color="auto"/>
      </w:divBdr>
    </w:div>
    <w:div w:id="996301820">
      <w:bodyDiv w:val="1"/>
      <w:marLeft w:val="0"/>
      <w:marRight w:val="0"/>
      <w:marTop w:val="0"/>
      <w:marBottom w:val="0"/>
      <w:divBdr>
        <w:top w:val="none" w:sz="0" w:space="0" w:color="auto"/>
        <w:left w:val="none" w:sz="0" w:space="0" w:color="auto"/>
        <w:bottom w:val="none" w:sz="0" w:space="0" w:color="auto"/>
        <w:right w:val="none" w:sz="0" w:space="0" w:color="auto"/>
      </w:divBdr>
    </w:div>
    <w:div w:id="1163089435">
      <w:bodyDiv w:val="1"/>
      <w:marLeft w:val="0"/>
      <w:marRight w:val="0"/>
      <w:marTop w:val="0"/>
      <w:marBottom w:val="0"/>
      <w:divBdr>
        <w:top w:val="none" w:sz="0" w:space="0" w:color="auto"/>
        <w:left w:val="none" w:sz="0" w:space="0" w:color="auto"/>
        <w:bottom w:val="none" w:sz="0" w:space="0" w:color="auto"/>
        <w:right w:val="none" w:sz="0" w:space="0" w:color="auto"/>
      </w:divBdr>
    </w:div>
    <w:div w:id="1508403238">
      <w:bodyDiv w:val="1"/>
      <w:marLeft w:val="0"/>
      <w:marRight w:val="0"/>
      <w:marTop w:val="0"/>
      <w:marBottom w:val="0"/>
      <w:divBdr>
        <w:top w:val="none" w:sz="0" w:space="0" w:color="auto"/>
        <w:left w:val="none" w:sz="0" w:space="0" w:color="auto"/>
        <w:bottom w:val="none" w:sz="0" w:space="0" w:color="auto"/>
        <w:right w:val="none" w:sz="0" w:space="0" w:color="auto"/>
      </w:divBdr>
    </w:div>
    <w:div w:id="2037341216">
      <w:bodyDiv w:val="1"/>
      <w:marLeft w:val="0"/>
      <w:marRight w:val="0"/>
      <w:marTop w:val="0"/>
      <w:marBottom w:val="0"/>
      <w:divBdr>
        <w:top w:val="none" w:sz="0" w:space="0" w:color="auto"/>
        <w:left w:val="none" w:sz="0" w:space="0" w:color="auto"/>
        <w:bottom w:val="none" w:sz="0" w:space="0" w:color="auto"/>
        <w:right w:val="none" w:sz="0" w:space="0" w:color="auto"/>
      </w:divBdr>
    </w:div>
    <w:div w:id="2101675789">
      <w:bodyDiv w:val="1"/>
      <w:marLeft w:val="0"/>
      <w:marRight w:val="0"/>
      <w:marTop w:val="0"/>
      <w:marBottom w:val="0"/>
      <w:divBdr>
        <w:top w:val="none" w:sz="0" w:space="0" w:color="auto"/>
        <w:left w:val="none" w:sz="0" w:space="0" w:color="auto"/>
        <w:bottom w:val="none" w:sz="0" w:space="0" w:color="auto"/>
        <w:right w:val="none" w:sz="0" w:space="0" w:color="auto"/>
      </w:divBdr>
    </w:div>
    <w:div w:id="2110155991">
      <w:bodyDiv w:val="1"/>
      <w:marLeft w:val="0"/>
      <w:marRight w:val="0"/>
      <w:marTop w:val="0"/>
      <w:marBottom w:val="0"/>
      <w:divBdr>
        <w:top w:val="none" w:sz="0" w:space="0" w:color="auto"/>
        <w:left w:val="none" w:sz="0" w:space="0" w:color="auto"/>
        <w:bottom w:val="none" w:sz="0" w:space="0" w:color="auto"/>
        <w:right w:val="none" w:sz="0" w:space="0" w:color="auto"/>
      </w:divBdr>
    </w:div>
    <w:div w:id="21325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F9BB-C881-42BE-849A-BD39E757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Cao</dc:creator>
  <cp:lastModifiedBy>linhph</cp:lastModifiedBy>
  <cp:revision>45</cp:revision>
  <dcterms:created xsi:type="dcterms:W3CDTF">2016-04-16T09:32:00Z</dcterms:created>
  <dcterms:modified xsi:type="dcterms:W3CDTF">2017-04-18T02:41:00Z</dcterms:modified>
</cp:coreProperties>
</file>